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baseline"/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</w:rPr>
      </w:pPr>
      <w:r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  <w:lang w:eastAsia="zh-CN"/>
        </w:rPr>
        <w:t>威海市</w:t>
      </w:r>
      <w:r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</w:rPr>
        <w:t>支持技工教育高质量特色</w:t>
      </w:r>
      <w:r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  <w:lang w:eastAsia="zh-CN"/>
        </w:rPr>
        <w:t>发</w:t>
      </w:r>
      <w:r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</w:rPr>
        <w:t>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baseline"/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</w:rPr>
      </w:pPr>
      <w:r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  <w:lang w:val="en-US" w:eastAsia="zh-CN"/>
        </w:rPr>
        <w:t>十条</w:t>
      </w:r>
      <w:r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</w:rPr>
        <w:t>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baseline"/>
        <w:rPr>
          <w:rFonts w:hint="eastAsia" w:ascii="Times New Roman" w:hAnsi="Times New Roman" w:eastAsia="方正小标宋简体" w:cs="方正小标宋简体"/>
          <w:snapToGrid/>
          <w:color w:val="auto"/>
          <w:spacing w:val="0"/>
          <w:sz w:val="44"/>
          <w:szCs w:val="44"/>
          <w:highlight w:val="none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jc w:val="both"/>
        <w:textAlignment w:val="baseline"/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为深入贯彻党的二十大及二十届二中、三中、四中全会精神，全面落实市委、市政府关于技工教育发展的决策部署，根据《山东省支持技工教育高质量特色发展若干措施》（鲁人社发〔2025〕5号）工作要求，结合我市产业发展和技能人才队伍建设需要，制定以下政策措施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培育一流产业技术工人队伍。</w:t>
      </w:r>
      <w:r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坚持以培养技术工人和技能人才为目标的办学定位，紧密对接威海市产业发展需求，适度超前布局医疗器械、新能源汽车、低空经济、康养托育、纺织服装等重点领域专业，聚力打造智能制造、文旅餐饮、直播电商等特色专业群。完善全日制、非全日制和社会培训相结合的多元培养机制，支持技工院校加强与各类龙头企业、产业链链主企业合作开展职业技能培训与评价工作。给予齐鲁技能大师特色工作站、世界技能大赛省级集训基地、省技工教育优质校一次性10万元经费资助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（牵头单位：市人力资源社会保障局，责任单位：市工业和信息化局、市财政局）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支持社会力量举办技工教育。</w:t>
      </w:r>
      <w:r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发挥大型企业重要办学主体作用，支持大型企业和优质技工院校、职业院校多元主体组建技工教育集团（联盟）（以下简称“集团〔联盟〕”），明确院校、企业权责分工和资源共享机制。打破单一院校与企业合作的分散化格局，</w:t>
      </w:r>
      <w:r>
        <w:rPr>
          <w:rFonts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</w:rPr>
        <w:t>鼓励集团（联盟）院校、企业共同招生招工，联合制定人才培养计划，</w:t>
      </w:r>
      <w:r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集中协调院校专业优势与企业岗位需求，推动“订单班”规模扩大与精准匹配。拓展技工院校招生范围，将失业青年、农民工等有技能提升意愿的群体纳入“订单班”招生对象，适当放宽招生年龄限制，扩大技能人才培养覆盖面。建立集团（联盟）内师资互聘、学生轮岗实训机制，实现教学资源、实训设备、岗位信息等共享共用，提升学生技能多样性与职业适应性。企业投资举办技工院校的建设用地，按教育用地管理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（牵头单位：市人力资源社会保障局，责任单位：市自然资源局、市国资委）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加强技工院校基础能力建设。</w:t>
      </w:r>
      <w:r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编制并动态更新技工院校建设项目库，支持学校新建（改扩建）产教融合实训基地、公共实训基地、设备更新等项目建设，支持符合条件的技工院校项目申请地方政府专项债券、超长期特别国债、中长期贷款、预算内投资等资金，在规划建设产教融合实训基地、公共实训基地时按规定减免地方税费。2030年年底前，依托优质技工院校建设1个产教融合实训基地和3个公共实训基地。提升技工院校数字化治理能力，鼓励技工院校加强数字化资源建设，促进教学资源共建共享。指导集团（联盟）院校联合企业共同开发模块化、项目化课程体系，将企业新技术、新工艺、新规范纳入课程内容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（牵头单位：市人力资源社会保障局，责任单位：市发展改革委、市税务局）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打造高技能人才平台载体。</w:t>
      </w:r>
      <w:r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争取获批世界技能大赛省级重点集训基地和省级集训基地，鼓励建立市级竞赛基地。支持依托技工院校建设一批高技能人才特色载体，给予国家级高技能人才培训基地一次性100万元经费资助，国家级技能大师工作室、世界技能大赛中国集训基地一次性50万元经费资助。争取省级职业训练院建设试点。对高技能人才培养平台载体建设项目，按照市场化法治化原则，加大金融信贷支持力度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（牵头单位：市人力资源社会保障局，责任单位：市发展改革委、市财政局、威海金融监管分局、人民银行威海支行）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推进工学一体化人才培养。</w:t>
      </w:r>
      <w:r>
        <w:rPr>
          <w:rFonts w:hint="eastAsia" w:ascii="Times New Roman" w:hAnsi="Times New Roman" w:eastAsia="仿宋_GB2312" w:cs="仿宋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坚持校企双制、工学一体的技能人才培养模式，推动集团（联盟）内部资源共享，利用现有场地、仪器设备和技术成果，共建生产性实训基地、高技能人才培训基地、技能竞赛集训基地等平台，基地所在院校应优化“订单班”学生培养方式，实现50%以上专业课时在企业车间完成，核心技能实操时长较普通班增加50%以上，推动“作品—产品—商品”有效转化。争取建设省级技工院校工学一体化师资培训基地，开展一体化教学研修培训和能力认定。争取省级工学一体化培养模式专项课题立项，加速我市工学一体化人才培养模式改革。以集团（联盟）为依托，定期举办“技能兴威”系列职业技能大赛、对大赛中取得优异成绩的选手、教练和单位予以奖励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（责任单位：市人力资源社会保障局）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建设高水平“双师型”师资队伍。</w:t>
      </w:r>
      <w:r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  <w:t>每年举办全市技工院校教师职业能力大赛，按照“技能兴威”市级一类竞赛项目管理。每年开展市级技工教育和职业培训科研课题立项、结题工作，不断提升教师科研能力和水平。设立“威海市技工教育集团（联盟）师资建设委员会”，整合各院校优势师资、技能大师、专业带头人，建立“威海技工教育师资库”，指导技工院校组织教师到企业一线实践锻炼，邀请企业选派技师、高级技师担任兼职教师，承担核心技能授课和实训指导任务。探索建立“双师型”教师认定、考核、激励机制，将企业实践经历和教学成效作为职称评审、评优评先的重要依据，提升教师实践教学能力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（责任单位：市人力资源社会保障局）</w:t>
      </w:r>
    </w:p>
    <w:bookmarkEnd w:id="0"/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深化产教融合校企协同育人。</w:t>
      </w:r>
      <w:r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  <w:t>根据省技工院校校办工厂建设管理办法，有条件的技工院校可以恢复、新建校办工厂，鼓励学校、企业共建共管“校中厂”“厂中校”。支持技工院校与企业等社会力量共建共管产业学院等办学机构。参与技工院校产教融合成效显著的企业，可按规定认定为“产教融合型企业”，落实“金融+财政+土地+信用”组合式激励和相关税收政策。在集团（联盟）院校开展“招生即招工·入校即入职”试点工作，由院校、企业与学生签订三方“预就业协议”。鼓励技工院校探索推广过程考核与结果考核相结合的评价体系，支持技工院校建设智能化考核平台和职业技能等级认定题库，提高职业技能评级评价信息化水平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（牵头单位：市发展改革委、市人力资源社会保障局，责任单位：市工业和信息化局、市财政局、市自然资源局、市国资委、市税务局）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拓展技工教育国际合作交流。</w:t>
      </w:r>
      <w:r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  <w:t>支持技工院校服务威海企业海外发展需要，构建“校随企出”的培养模式，招收国际学生、境外短期培训生，助力推进“一带一路”技能筑梦行动，积极服务中资企业出海。鼓励有条件的技工院校参加政府公派出国留学、青年国际实习交流计划等项目，培养具有国际视野的新时代技能人才。推动集团（联盟）院校与国（境）外优质院校、机构建立常态化合作，扩大师生出国（境）研修、培训、参赛及学术交流规模。对因教学、科研、竞赛等需要组团出访的集团（联盟）成员单位，主管部门在外事审批中予以支持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（牵头单位：市人力资源社会保障局，责任单位：市外办、市国资委）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推动职业技能培训提质升级。</w:t>
      </w:r>
      <w:r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  <w:t>支持技工院校发挥培训优势，面向社会广泛开展职业技能培训，按规定落实职业培训补贴政策。教师参与培训工作量可按一定比例折算成全日制学生培养工作量，在内部分配时向承担培训任务的一线教师倾斜。优先安排技工教育集团（联盟）承担政府部门组织的就业技能、岗位技能、创业人才和农村实用人才等培训任务。鼓励集团（联盟）院校开展职业技能培训并扩大规模。技工院校开展的社会培训、校企合作、自办企业等年度创收净收入，经有资质的第三方中介机构核定、主管部门审核、同级财政部门、人力资源社会保障部门审定后，可按不低于30%的比例用于奖励性绩效工资分配，纳入当年本单位绩效工资总量管理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（牵头单位：市人力资源社会保障局，责任单位：市财政局）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firstLine="640" w:firstLineChars="200"/>
        <w:jc w:val="both"/>
        <w:textAlignment w:val="baseline"/>
        <w:rPr>
          <w:rFonts w:hint="default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凝聚高质量特色发展合力。</w:t>
      </w:r>
      <w:r>
        <w:rPr>
          <w:rFonts w:hint="eastAsia" w:ascii="Times New Roman" w:hAnsi="Times New Roman" w:eastAsia="仿宋_GB2312"/>
          <w:snapToGrid/>
          <w:color w:val="auto"/>
          <w:spacing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  <w:t>建立政府、企业、社会多元投入机制和高技能人才队伍建设资金保障机制，统筹利用现有资金渠道，支持高技能人才工作。全面落实生均拨款制度。将技工教育作为对县级人民政府履行教育职责评价的重要内容。继续将技工教育纳入职业教育政策支持体系。支持技师学院与高等院校开展“高职+高级工（技师）”全日制学生培养，完成规定学分课程和考核的学生，可取得相应层次学校毕业证和职业技能等级证书。实施技工就业促进计划，争取大学生技师班试点，推行“学历+技能”复合型人才培养模式。将技工院校纳入教育系统荣誉体系、教科研项目、教学成果竞赛等。定期组织开展职业教育活动周、世界青年技能日、劳模工匠进校园、开学第一课等宣传活动，营造关心支持技工教育发展的良好氛围。</w:t>
      </w:r>
      <w:r>
        <w:rPr>
          <w:rFonts w:hint="eastAsia" w:ascii="方正楷体_GB2312" w:hAnsi="方正楷体_GB2312" w:eastAsia="方正楷体_GB2312" w:cs="方正楷体_GB2312"/>
          <w:snapToGrid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（牵头单位：市人力资源社会保障局，责任单位：市教育局、市财政局、市总工会）</w:t>
      </w:r>
    </w:p>
    <w:sectPr>
      <w:footerReference r:id="rId5" w:type="default"/>
      <w:pgSz w:w="11900" w:h="16830"/>
      <w:pgMar w:top="2098" w:right="1474" w:bottom="1984" w:left="1587" w:header="567" w:footer="850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2312">
    <w:altName w:val="楷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sz w:val="28"/>
                              <w:szCs w:val="36"/>
                            </w:rPr>
                          </w:pPr>
                          <w:r>
                            <w:rPr>
                              <w:sz w:val="28"/>
                              <w:szCs w:val="36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36"/>
                            </w:rPr>
                            <w:t>1</w:t>
                          </w:r>
                          <w:r>
                            <w:rPr>
                              <w:sz w:val="28"/>
                              <w:szCs w:val="36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36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sz w:val="28"/>
                        <w:szCs w:val="36"/>
                      </w:rPr>
                    </w:pPr>
                    <w:r>
                      <w:rPr>
                        <w:sz w:val="28"/>
                        <w:szCs w:val="36"/>
                      </w:rPr>
                      <w:t xml:space="preserve">— </w:t>
                    </w:r>
                    <w:r>
                      <w:rPr>
                        <w:sz w:val="28"/>
                        <w:szCs w:val="36"/>
                      </w:rPr>
                      <w:fldChar w:fldCharType="begin"/>
                    </w:r>
                    <w:r>
                      <w:rPr>
                        <w:sz w:val="28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36"/>
                      </w:rPr>
                      <w:fldChar w:fldCharType="separate"/>
                    </w:r>
                    <w:r>
                      <w:rPr>
                        <w:sz w:val="28"/>
                        <w:szCs w:val="36"/>
                      </w:rPr>
                      <w:t>1</w:t>
                    </w:r>
                    <w:r>
                      <w:rPr>
                        <w:sz w:val="28"/>
                        <w:szCs w:val="36"/>
                      </w:rPr>
                      <w:fldChar w:fldCharType="end"/>
                    </w:r>
                    <w:r>
                      <w:rPr>
                        <w:sz w:val="28"/>
                        <w:szCs w:val="36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1EF110"/>
    <w:multiLevelType w:val="singleLevel"/>
    <w:tmpl w:val="C31EF110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 w:ascii="黑体" w:hAnsi="黑体" w:eastAsia="黑体" w:cs="黑体"/>
        <w:sz w:val="32"/>
        <w:szCs w:val="3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displayBackgroundShape w:val="true"/>
  <w:embedTrueTypeFonts/>
  <w:saveSubsetFonts/>
  <w:bordersDoNotSurroundHeader w:val="false"/>
  <w:bordersDoNotSurroundFooter w:val="false"/>
  <w:documentProtection w:enforcement="0"/>
  <w:displayHorizontalDrawingGridEvery w:val="1"/>
  <w:displayVerticalDrawingGridEvery w:val="1"/>
  <w:noPunctuationKerning w:val="true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00396CDA"/>
    <w:rsid w:val="01154EDD"/>
    <w:rsid w:val="016D19EC"/>
    <w:rsid w:val="024970F7"/>
    <w:rsid w:val="027E47DC"/>
    <w:rsid w:val="03285B37"/>
    <w:rsid w:val="036839EA"/>
    <w:rsid w:val="04471561"/>
    <w:rsid w:val="04553F6E"/>
    <w:rsid w:val="0619475C"/>
    <w:rsid w:val="07971999"/>
    <w:rsid w:val="08FF6B9F"/>
    <w:rsid w:val="09824CF4"/>
    <w:rsid w:val="0A372C76"/>
    <w:rsid w:val="0A5D3B7D"/>
    <w:rsid w:val="0B68215D"/>
    <w:rsid w:val="0BA457DB"/>
    <w:rsid w:val="0BBF5D66"/>
    <w:rsid w:val="0BED706C"/>
    <w:rsid w:val="0C882A07"/>
    <w:rsid w:val="0CDB6FDB"/>
    <w:rsid w:val="0E19594F"/>
    <w:rsid w:val="0EFF1F8E"/>
    <w:rsid w:val="0F4075C9"/>
    <w:rsid w:val="0F76748F"/>
    <w:rsid w:val="0FE807EA"/>
    <w:rsid w:val="10F115D3"/>
    <w:rsid w:val="111D4E0E"/>
    <w:rsid w:val="11322D32"/>
    <w:rsid w:val="12262024"/>
    <w:rsid w:val="13F54834"/>
    <w:rsid w:val="155429FA"/>
    <w:rsid w:val="15B4D7FA"/>
    <w:rsid w:val="15D31197"/>
    <w:rsid w:val="164200CB"/>
    <w:rsid w:val="1B9F4C3A"/>
    <w:rsid w:val="1C0D2AA1"/>
    <w:rsid w:val="1D1E13F0"/>
    <w:rsid w:val="1E207D37"/>
    <w:rsid w:val="1E69181E"/>
    <w:rsid w:val="1FBDDA65"/>
    <w:rsid w:val="204320ED"/>
    <w:rsid w:val="20F14BC7"/>
    <w:rsid w:val="247A6014"/>
    <w:rsid w:val="247C0C4C"/>
    <w:rsid w:val="25783B09"/>
    <w:rsid w:val="262D3BE6"/>
    <w:rsid w:val="264136D1"/>
    <w:rsid w:val="26820120"/>
    <w:rsid w:val="27FF6B33"/>
    <w:rsid w:val="289E1837"/>
    <w:rsid w:val="29954C89"/>
    <w:rsid w:val="2B6A64AB"/>
    <w:rsid w:val="2DEA30CA"/>
    <w:rsid w:val="2E8D18BB"/>
    <w:rsid w:val="2FBE03EA"/>
    <w:rsid w:val="31147CA5"/>
    <w:rsid w:val="33040454"/>
    <w:rsid w:val="330A18BB"/>
    <w:rsid w:val="35365B33"/>
    <w:rsid w:val="35BB4292"/>
    <w:rsid w:val="3645478B"/>
    <w:rsid w:val="36513CE6"/>
    <w:rsid w:val="371BEC0C"/>
    <w:rsid w:val="37DBACBF"/>
    <w:rsid w:val="37E24836"/>
    <w:rsid w:val="37FD94E5"/>
    <w:rsid w:val="38C75746"/>
    <w:rsid w:val="38CE29B3"/>
    <w:rsid w:val="39D223A3"/>
    <w:rsid w:val="39F2758E"/>
    <w:rsid w:val="3BFC9D71"/>
    <w:rsid w:val="3C1F3252"/>
    <w:rsid w:val="3CB976B7"/>
    <w:rsid w:val="3D1A8115"/>
    <w:rsid w:val="3DCAF283"/>
    <w:rsid w:val="3DEF458E"/>
    <w:rsid w:val="3F1F4A1C"/>
    <w:rsid w:val="3F3C4DFA"/>
    <w:rsid w:val="3F6DBCCD"/>
    <w:rsid w:val="3FADFCFF"/>
    <w:rsid w:val="3FB7102B"/>
    <w:rsid w:val="3FBE9F4E"/>
    <w:rsid w:val="416F3BBA"/>
    <w:rsid w:val="42240501"/>
    <w:rsid w:val="43BA7BB2"/>
    <w:rsid w:val="43BB4C1B"/>
    <w:rsid w:val="445530D9"/>
    <w:rsid w:val="45854E0B"/>
    <w:rsid w:val="466D2B84"/>
    <w:rsid w:val="483B3E42"/>
    <w:rsid w:val="48435459"/>
    <w:rsid w:val="4A4B0101"/>
    <w:rsid w:val="4AF105CC"/>
    <w:rsid w:val="4CEC60BF"/>
    <w:rsid w:val="4E5E073F"/>
    <w:rsid w:val="4F98252E"/>
    <w:rsid w:val="5184720E"/>
    <w:rsid w:val="51885E41"/>
    <w:rsid w:val="52CB4149"/>
    <w:rsid w:val="542447E7"/>
    <w:rsid w:val="547A0659"/>
    <w:rsid w:val="5495703C"/>
    <w:rsid w:val="54CD5099"/>
    <w:rsid w:val="55FD3342"/>
    <w:rsid w:val="57715FBE"/>
    <w:rsid w:val="57BF8586"/>
    <w:rsid w:val="59FFF197"/>
    <w:rsid w:val="5AB607D7"/>
    <w:rsid w:val="5BB7A213"/>
    <w:rsid w:val="5BEDF697"/>
    <w:rsid w:val="5D5201C0"/>
    <w:rsid w:val="5F543192"/>
    <w:rsid w:val="5F578FB7"/>
    <w:rsid w:val="5F7EB8A1"/>
    <w:rsid w:val="5FB17DDF"/>
    <w:rsid w:val="5FBF7663"/>
    <w:rsid w:val="5FE315A4"/>
    <w:rsid w:val="604A1238"/>
    <w:rsid w:val="628C5F22"/>
    <w:rsid w:val="65EF7B20"/>
    <w:rsid w:val="6659611C"/>
    <w:rsid w:val="665C1EA7"/>
    <w:rsid w:val="66EC3434"/>
    <w:rsid w:val="67631F00"/>
    <w:rsid w:val="6777982F"/>
    <w:rsid w:val="67B850C4"/>
    <w:rsid w:val="67F5FBEE"/>
    <w:rsid w:val="67FE7282"/>
    <w:rsid w:val="69674FF3"/>
    <w:rsid w:val="69823BDB"/>
    <w:rsid w:val="69DE40A5"/>
    <w:rsid w:val="6A9A31A7"/>
    <w:rsid w:val="6BF1329A"/>
    <w:rsid w:val="6BF2FC40"/>
    <w:rsid w:val="6CB97B51"/>
    <w:rsid w:val="6EA774A3"/>
    <w:rsid w:val="6FD76E31"/>
    <w:rsid w:val="708B5D7A"/>
    <w:rsid w:val="70F84783"/>
    <w:rsid w:val="75C630A2"/>
    <w:rsid w:val="75C86E1A"/>
    <w:rsid w:val="762270B5"/>
    <w:rsid w:val="7687205A"/>
    <w:rsid w:val="77302EC9"/>
    <w:rsid w:val="77F7EA19"/>
    <w:rsid w:val="77FB4ACB"/>
    <w:rsid w:val="78DD460B"/>
    <w:rsid w:val="79A9DC29"/>
    <w:rsid w:val="7A236943"/>
    <w:rsid w:val="7B5F5B10"/>
    <w:rsid w:val="7BBF888D"/>
    <w:rsid w:val="7C4FEB37"/>
    <w:rsid w:val="7CAB36D9"/>
    <w:rsid w:val="7DCF286D"/>
    <w:rsid w:val="7F026D70"/>
    <w:rsid w:val="7F4F52BF"/>
    <w:rsid w:val="7F5A1DD2"/>
    <w:rsid w:val="7F6C76E3"/>
    <w:rsid w:val="7F7E692D"/>
    <w:rsid w:val="7FAFC067"/>
    <w:rsid w:val="7FC7C8D3"/>
    <w:rsid w:val="7FD4460D"/>
    <w:rsid w:val="7FD69217"/>
    <w:rsid w:val="7FD6FC72"/>
    <w:rsid w:val="7FF11835"/>
    <w:rsid w:val="7FF24CDD"/>
    <w:rsid w:val="7FF351CA"/>
    <w:rsid w:val="7FFFC3DC"/>
    <w:rsid w:val="7FFFEE10"/>
    <w:rsid w:val="9D7D36F4"/>
    <w:rsid w:val="A8F22777"/>
    <w:rsid w:val="AAFA88AC"/>
    <w:rsid w:val="ADEDEB95"/>
    <w:rsid w:val="AEFBADB7"/>
    <w:rsid w:val="B37AEF7D"/>
    <w:rsid w:val="B5EF3175"/>
    <w:rsid w:val="BF3797E7"/>
    <w:rsid w:val="BFDF4C8D"/>
    <w:rsid w:val="BFF29733"/>
    <w:rsid w:val="BFFF7DB4"/>
    <w:rsid w:val="C3FFA0A8"/>
    <w:rsid w:val="D7EC31BC"/>
    <w:rsid w:val="DBBE8B99"/>
    <w:rsid w:val="DEF29BAC"/>
    <w:rsid w:val="DEFF46F4"/>
    <w:rsid w:val="DF3B8E14"/>
    <w:rsid w:val="DFF6D934"/>
    <w:rsid w:val="DFFB3A1C"/>
    <w:rsid w:val="E59EF0FB"/>
    <w:rsid w:val="EA362E91"/>
    <w:rsid w:val="EDAFD1E4"/>
    <w:rsid w:val="EEFEC53F"/>
    <w:rsid w:val="F35FB433"/>
    <w:rsid w:val="F4AFA395"/>
    <w:rsid w:val="F6F6FAB7"/>
    <w:rsid w:val="F8FDEF3D"/>
    <w:rsid w:val="F9EE8721"/>
    <w:rsid w:val="FB6FBDD9"/>
    <w:rsid w:val="FB7D2B54"/>
    <w:rsid w:val="FBF7BAD8"/>
    <w:rsid w:val="FBFE52CF"/>
    <w:rsid w:val="FBFF1150"/>
    <w:rsid w:val="FCC7202E"/>
    <w:rsid w:val="FDAD860E"/>
    <w:rsid w:val="FDED770E"/>
    <w:rsid w:val="FDEF64C7"/>
    <w:rsid w:val="FEF660AA"/>
    <w:rsid w:val="FF3855E0"/>
    <w:rsid w:val="FF4B83AB"/>
    <w:rsid w:val="FF7F4DD7"/>
    <w:rsid w:val="FFBD3771"/>
    <w:rsid w:val="FFCF9878"/>
    <w:rsid w:val="FFE7593D"/>
    <w:rsid w:val="FFF7131E"/>
    <w:rsid w:val="FFF983D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宋体" w:hAnsi="宋体" w:eastAsia="宋体" w:cs="宋体"/>
      <w:sz w:val="52"/>
      <w:szCs w:val="52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3220</Words>
  <Characters>3236</Characters>
  <TotalTime>40</TotalTime>
  <ScaleCrop>false</ScaleCrop>
  <LinksUpToDate>false</LinksUpToDate>
  <CharactersWithSpaces>3236</CharactersWithSpaces>
  <Application>WPS Office_11.8.2.10386_F1E327BC-269C-435d-A152-05C5408002CA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2025-10-14T10:37:00Z</dcterms:created>
  <dc:creator>user</dc:creator>
  <cp:lastModifiedBy>user</cp:lastModifiedBy>
  <cp:lastPrinted>2025-11-20T16:57:00Z</cp:lastPrinted>
  <dcterms:modified xsi:type="dcterms:W3CDTF">2025-12-22T10:55:16Z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2025-10-09T10:37:40Z</vt:filetime>
  </property>
  <property fmtid="{D5CDD505-2E9C-101B-9397-08002B2CF9AE}" pid="4" name="UsrData">
    <vt:lpwstr>68e71fefb19986001f716490wl</vt:lpwstr>
  </property>
  <property fmtid="{D5CDD505-2E9C-101B-9397-08002B2CF9AE}" pid="5" name="KSOProductBuildVer">
    <vt:lpwstr>2052-11.8.2.10386</vt:lpwstr>
  </property>
  <property fmtid="{D5CDD505-2E9C-101B-9397-08002B2CF9AE}" pid="6" name="KSOTemplateDocerSaveRecord">
    <vt:lpwstr>eyJoZGlkIjoiZjU2YWU4ZWMwMWUyZWQ2MDI2MjlmNTk2YzhkYTY5MzEiLCJ1c2VySWQiOiIyMjQ0NzE2OCJ9</vt:lpwstr>
  </property>
  <property fmtid="{D5CDD505-2E9C-101B-9397-08002B2CF9AE}" pid="7" name="ICV">
    <vt:lpwstr>59A6A2D348DB402BA0F1CE4F851A7C23_13</vt:lpwstr>
  </property>
</Properties>
</file>