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jc w:val="center"/>
        <w:textAlignment w:val="baseline"/>
        <w:rPr>
          <w:rFonts w:hint="eastAsia" w:ascii="方正小标宋简体" w:hAnsi="方正小标宋简体" w:eastAsia="方正小标宋简体" w:cs="方正小标宋简体"/>
          <w:i w:val="0"/>
          <w:iCs w:val="0"/>
          <w:caps w:val="0"/>
          <w:color w:val="000000"/>
          <w:spacing w:val="0"/>
          <w:sz w:val="44"/>
          <w:szCs w:val="44"/>
          <w:lang w:eastAsia="zh-CN"/>
        </w:rPr>
      </w:pP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jc w:val="center"/>
        <w:textAlignment w:val="baseline"/>
        <w:rPr>
          <w:rFonts w:hint="eastAsia" w:ascii="方正小标宋简体" w:hAnsi="方正小标宋简体" w:eastAsia="方正小标宋简体" w:cs="方正小标宋简体"/>
          <w:i w:val="0"/>
          <w:iCs w:val="0"/>
          <w:caps w:val="0"/>
          <w:color w:val="000000"/>
          <w:spacing w:val="0"/>
          <w:sz w:val="44"/>
          <w:szCs w:val="44"/>
          <w:lang w:eastAsia="zh-CN"/>
        </w:rPr>
      </w:pP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jc w:val="center"/>
        <w:textAlignment w:val="baseline"/>
        <w:rPr>
          <w:rFonts w:hint="eastAsia" w:ascii="方正小标宋简体" w:hAnsi="方正小标宋简体" w:eastAsia="方正小标宋简体" w:cs="方正小标宋简体"/>
          <w:i w:val="0"/>
          <w:iCs w:val="0"/>
          <w:caps w:val="0"/>
          <w:color w:val="000000"/>
          <w:spacing w:val="0"/>
          <w:sz w:val="44"/>
          <w:szCs w:val="44"/>
          <w:lang w:eastAsia="zh-CN"/>
        </w:rPr>
      </w:pP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jc w:val="center"/>
        <w:textAlignment w:val="baseline"/>
        <w:rPr>
          <w:rFonts w:hint="eastAsia" w:ascii="方正小标宋简体" w:hAnsi="方正小标宋简体" w:eastAsia="方正小标宋简体" w:cs="方正小标宋简体"/>
          <w:i w:val="0"/>
          <w:iCs w:val="0"/>
          <w:caps w:val="0"/>
          <w:color w:val="000000"/>
          <w:spacing w:val="0"/>
          <w:sz w:val="44"/>
          <w:szCs w:val="44"/>
          <w:lang w:eastAsia="zh-CN"/>
        </w:rPr>
      </w:pP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jc w:val="center"/>
        <w:textAlignment w:val="baseline"/>
        <w:rPr>
          <w:rFonts w:hint="eastAsia" w:ascii="方正小标宋简体" w:hAnsi="方正小标宋简体" w:eastAsia="方正小标宋简体" w:cs="方正小标宋简体"/>
          <w:i w:val="0"/>
          <w:iCs w:val="0"/>
          <w:caps w:val="0"/>
          <w:color w:val="000000"/>
          <w:spacing w:val="0"/>
          <w:sz w:val="44"/>
          <w:szCs w:val="44"/>
          <w:lang w:eastAsia="zh-CN"/>
        </w:rPr>
      </w:pP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jc w:val="center"/>
        <w:textAlignment w:val="baseline"/>
        <w:rPr>
          <w:rFonts w:hint="eastAsia" w:ascii="方正小标宋简体" w:hAnsi="方正小标宋简体" w:eastAsia="方正小标宋简体" w:cs="方正小标宋简体"/>
          <w:i w:val="0"/>
          <w:iCs w:val="0"/>
          <w:caps w:val="0"/>
          <w:color w:val="000000"/>
          <w:spacing w:val="0"/>
          <w:sz w:val="44"/>
          <w:szCs w:val="44"/>
          <w:lang w:eastAsia="zh-CN"/>
        </w:rPr>
      </w:pP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jc w:val="center"/>
        <w:textAlignment w:val="baseline"/>
        <w:rPr>
          <w:rFonts w:hint="eastAsia" w:ascii="方正小标宋简体" w:hAnsi="方正小标宋简体" w:eastAsia="方正小标宋简体" w:cs="方正小标宋简体"/>
          <w:i w:val="0"/>
          <w:iCs w:val="0"/>
          <w:caps w:val="0"/>
          <w:color w:val="000000"/>
          <w:spacing w:val="0"/>
          <w:sz w:val="44"/>
          <w:szCs w:val="44"/>
          <w:lang w:eastAsia="zh-CN"/>
        </w:rPr>
      </w:pP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jc w:val="center"/>
        <w:textAlignment w:val="baseline"/>
        <w:rPr>
          <w:rFonts w:hint="eastAsia" w:ascii="方正小标宋简体" w:hAnsi="方正小标宋简体" w:eastAsia="方正小标宋简体" w:cs="方正小标宋简体"/>
          <w:i w:val="0"/>
          <w:iCs w:val="0"/>
          <w:caps w:val="0"/>
          <w:color w:val="000000"/>
          <w:spacing w:val="0"/>
          <w:sz w:val="44"/>
          <w:szCs w:val="44"/>
          <w:lang w:eastAsia="zh-CN"/>
        </w:rPr>
      </w:pP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jc w:val="center"/>
        <w:textAlignment w:val="baseline"/>
        <w:rPr>
          <w:rFonts w:hint="eastAsia" w:ascii="方正小标宋简体" w:hAnsi="方正小标宋简体" w:eastAsia="方正小标宋简体" w:cs="方正小标宋简体"/>
          <w:i w:val="0"/>
          <w:iCs w:val="0"/>
          <w:caps w:val="0"/>
          <w:color w:val="000000"/>
          <w:spacing w:val="0"/>
          <w:sz w:val="44"/>
          <w:szCs w:val="44"/>
          <w:lang w:eastAsia="zh-CN"/>
        </w:rPr>
      </w:pP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jc w:val="center"/>
        <w:textAlignment w:val="baseline"/>
        <w:rPr>
          <w:rFonts w:hint="eastAsia" w:ascii="方正小标宋简体" w:hAnsi="方正小标宋简体" w:eastAsia="方正小标宋简体" w:cs="方正小标宋简体"/>
          <w:i w:val="0"/>
          <w:iCs w:val="0"/>
          <w:caps w:val="0"/>
          <w:color w:val="000000"/>
          <w:spacing w:val="0"/>
          <w:sz w:val="44"/>
          <w:szCs w:val="44"/>
          <w:lang w:eastAsia="zh-CN"/>
        </w:rPr>
      </w:pP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jc w:val="center"/>
        <w:textAlignment w:val="baseline"/>
        <w:rPr>
          <w:rFonts w:hint="eastAsia" w:ascii="方正小标宋简体" w:hAnsi="方正小标宋简体" w:eastAsia="方正小标宋简体" w:cs="方正小标宋简体"/>
          <w:i w:val="0"/>
          <w:iCs w:val="0"/>
          <w:caps w:val="0"/>
          <w:color w:val="000000"/>
          <w:spacing w:val="0"/>
          <w:sz w:val="44"/>
          <w:szCs w:val="44"/>
          <w:lang w:val="en-US" w:eastAsia="zh-CN"/>
        </w:rPr>
      </w:pPr>
      <w:r>
        <w:rPr>
          <w:rFonts w:hint="eastAsia" w:ascii="方正小标宋简体" w:hAnsi="方正小标宋简体" w:eastAsia="方正小标宋简体" w:cs="方正小标宋简体"/>
          <w:i w:val="0"/>
          <w:iCs w:val="0"/>
          <w:caps w:val="0"/>
          <w:color w:val="000000"/>
          <w:spacing w:val="0"/>
          <w:sz w:val="44"/>
          <w:szCs w:val="44"/>
          <w:lang w:eastAsia="zh-CN"/>
        </w:rPr>
        <w:t>威海市</w:t>
      </w:r>
      <w:r>
        <w:rPr>
          <w:rFonts w:hint="eastAsia" w:ascii="方正小标宋简体" w:hAnsi="方正小标宋简体" w:eastAsia="方正小标宋简体" w:cs="方正小标宋简体"/>
          <w:i w:val="0"/>
          <w:iCs w:val="0"/>
          <w:caps w:val="0"/>
          <w:color w:val="000000"/>
          <w:spacing w:val="0"/>
          <w:sz w:val="44"/>
          <w:szCs w:val="44"/>
        </w:rPr>
        <w:t>人力资源和社会保障</w:t>
      </w:r>
      <w:r>
        <w:rPr>
          <w:rFonts w:hint="eastAsia" w:ascii="方正小标宋简体" w:hAnsi="方正小标宋简体" w:eastAsia="方正小标宋简体" w:cs="方正小标宋简体"/>
          <w:i w:val="0"/>
          <w:iCs w:val="0"/>
          <w:caps w:val="0"/>
          <w:color w:val="000000"/>
          <w:spacing w:val="0"/>
          <w:sz w:val="44"/>
          <w:szCs w:val="44"/>
          <w:lang w:eastAsia="zh-CN"/>
        </w:rPr>
        <w:t>局</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jc w:val="center"/>
        <w:textAlignment w:val="baseline"/>
        <w:rPr>
          <w:rFonts w:hint="eastAsia" w:ascii="方正小标宋简体" w:hAnsi="方正小标宋简体" w:eastAsia="方正小标宋简体" w:cs="方正小标宋简体"/>
          <w:i w:val="0"/>
          <w:iCs w:val="0"/>
          <w:caps w:val="0"/>
          <w:color w:val="222222"/>
          <w:spacing w:val="8"/>
          <w:sz w:val="44"/>
          <w:szCs w:val="44"/>
          <w:shd w:val="clear" w:fill="FFFFFF"/>
        </w:rPr>
      </w:pPr>
      <w:r>
        <w:rPr>
          <w:rFonts w:hint="eastAsia" w:ascii="方正小标宋简体" w:hAnsi="方正小标宋简体" w:eastAsia="方正小标宋简体" w:cs="方正小标宋简体"/>
          <w:i w:val="0"/>
          <w:iCs w:val="0"/>
          <w:caps w:val="0"/>
          <w:color w:val="000000"/>
          <w:spacing w:val="0"/>
          <w:sz w:val="44"/>
          <w:szCs w:val="44"/>
          <w:lang w:eastAsia="zh-CN"/>
        </w:rPr>
        <w:t>威海市</w:t>
      </w:r>
      <w:r>
        <w:rPr>
          <w:rFonts w:hint="eastAsia" w:ascii="方正小标宋简体" w:hAnsi="方正小标宋简体" w:eastAsia="方正小标宋简体" w:cs="方正小标宋简体"/>
          <w:i w:val="0"/>
          <w:iCs w:val="0"/>
          <w:caps w:val="0"/>
          <w:color w:val="000000"/>
          <w:spacing w:val="0"/>
          <w:sz w:val="44"/>
          <w:szCs w:val="44"/>
        </w:rPr>
        <w:t>工业和信息化</w:t>
      </w:r>
      <w:r>
        <w:rPr>
          <w:rFonts w:hint="eastAsia" w:ascii="方正小标宋简体" w:hAnsi="方正小标宋简体" w:eastAsia="方正小标宋简体" w:cs="方正小标宋简体"/>
          <w:i w:val="0"/>
          <w:iCs w:val="0"/>
          <w:caps w:val="0"/>
          <w:color w:val="000000"/>
          <w:spacing w:val="0"/>
          <w:sz w:val="44"/>
          <w:szCs w:val="44"/>
          <w:lang w:eastAsia="zh-CN"/>
        </w:rPr>
        <w:t>局</w:t>
      </w:r>
      <w:r>
        <w:rPr>
          <w:rFonts w:hint="eastAsia" w:ascii="方正小标宋简体" w:hAnsi="方正小标宋简体" w:eastAsia="方正小标宋简体" w:cs="方正小标宋简体"/>
          <w:i w:val="0"/>
          <w:iCs w:val="0"/>
          <w:caps w:val="0"/>
          <w:color w:val="222222"/>
          <w:spacing w:val="8"/>
          <w:sz w:val="44"/>
          <w:szCs w:val="44"/>
          <w:shd w:val="clear" w:fill="FFFFFF"/>
        </w:rPr>
        <w:t>关于落实专精特新</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jc w:val="center"/>
        <w:textAlignment w:val="baseline"/>
        <w:rPr>
          <w:rFonts w:hint="eastAsia" w:ascii="方正小标宋简体" w:hAnsi="方正小标宋简体" w:eastAsia="方正小标宋简体" w:cs="方正小标宋简体"/>
          <w:i w:val="0"/>
          <w:iCs w:val="0"/>
          <w:caps w:val="0"/>
          <w:color w:val="222222"/>
          <w:spacing w:val="8"/>
          <w:sz w:val="44"/>
          <w:szCs w:val="44"/>
          <w:shd w:val="clear" w:fill="FFFFFF"/>
        </w:rPr>
      </w:pPr>
      <w:r>
        <w:rPr>
          <w:rFonts w:hint="eastAsia" w:ascii="方正小标宋简体" w:hAnsi="方正小标宋简体" w:eastAsia="方正小标宋简体" w:cs="方正小标宋简体"/>
          <w:i w:val="0"/>
          <w:iCs w:val="0"/>
          <w:caps w:val="0"/>
          <w:color w:val="222222"/>
          <w:spacing w:val="8"/>
          <w:sz w:val="44"/>
          <w:szCs w:val="44"/>
          <w:shd w:val="clear" w:fill="FFFFFF"/>
        </w:rPr>
        <w:t>中小企业和制造业单项冠军企业</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jc w:val="center"/>
        <w:textAlignment w:val="baseline"/>
        <w:rPr>
          <w:rFonts w:hint="eastAsia" w:ascii="方正小标宋简体" w:hAnsi="方正小标宋简体" w:eastAsia="方正小标宋简体" w:cs="方正小标宋简体"/>
          <w:i w:val="0"/>
          <w:iCs w:val="0"/>
          <w:caps w:val="0"/>
          <w:color w:val="222222"/>
          <w:spacing w:val="8"/>
          <w:sz w:val="44"/>
          <w:szCs w:val="44"/>
          <w:shd w:val="clear" w:fill="FFFFFF"/>
        </w:rPr>
      </w:pPr>
      <w:r>
        <w:rPr>
          <w:rFonts w:hint="eastAsia" w:ascii="方正小标宋简体" w:hAnsi="方正小标宋简体" w:eastAsia="方正小标宋简体" w:cs="方正小标宋简体"/>
          <w:i w:val="0"/>
          <w:iCs w:val="0"/>
          <w:caps w:val="0"/>
          <w:color w:val="222222"/>
          <w:spacing w:val="8"/>
          <w:sz w:val="44"/>
          <w:szCs w:val="44"/>
          <w:shd w:val="clear" w:fill="FFFFFF"/>
        </w:rPr>
        <w:t>专业技术人才职称政策的通知</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jc w:val="center"/>
        <w:textAlignment w:val="baseline"/>
        <w:rPr>
          <w:rFonts w:hint="eastAsia" w:ascii="仿宋_GB2312" w:hAnsi="仿宋_GB2312" w:eastAsia="仿宋_GB2312" w:cs="仿宋_GB2312"/>
          <w:i w:val="0"/>
          <w:iCs w:val="0"/>
          <w:caps w:val="0"/>
          <w:snapToGrid w:val="0"/>
          <w:color w:val="auto"/>
          <w:spacing w:val="0"/>
          <w:kern w:val="0"/>
          <w:sz w:val="32"/>
          <w:szCs w:val="32"/>
          <w:lang w:val="en-US" w:eastAsia="zh-CN" w:bidi="ar"/>
        </w:rPr>
      </w:pPr>
      <w:r>
        <w:rPr>
          <w:rFonts w:hint="eastAsia" w:ascii="仿宋_GB2312" w:hAnsi="仿宋_GB2312" w:eastAsia="仿宋_GB2312" w:cs="仿宋_GB2312"/>
          <w:i w:val="0"/>
          <w:iCs w:val="0"/>
          <w:caps w:val="0"/>
          <w:snapToGrid w:val="0"/>
          <w:color w:val="auto"/>
          <w:spacing w:val="0"/>
          <w:kern w:val="0"/>
          <w:sz w:val="32"/>
          <w:szCs w:val="32"/>
          <w:lang w:val="en-US" w:eastAsia="zh-CN" w:bidi="ar"/>
        </w:rPr>
        <w:t>威人社字〔2022〕32号</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240" w:lineRule="auto"/>
        <w:ind w:right="0"/>
        <w:jc w:val="center"/>
        <w:textAlignment w:val="baseline"/>
        <w:rPr>
          <w:rFonts w:hint="eastAsia" w:ascii="仿宋_GB2312" w:hAnsi="仿宋_GB2312" w:eastAsia="仿宋_GB2312" w:cs="仿宋_GB2312"/>
          <w:i w:val="0"/>
          <w:iCs w:val="0"/>
          <w:caps w:val="0"/>
          <w:color w:val="222222"/>
          <w:spacing w:val="8"/>
          <w:sz w:val="32"/>
          <w:szCs w:val="32"/>
          <w:shd w:val="clear" w:fill="FFFFFF"/>
        </w:rPr>
      </w:pPr>
    </w:p>
    <w:p>
      <w:pPr>
        <w:keepNext w:val="0"/>
        <w:keepLines w:val="0"/>
        <w:pageBreakBefore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i w:val="0"/>
          <w:iCs w:val="0"/>
          <w:caps w:val="0"/>
          <w:snapToGrid w:val="0"/>
          <w:color w:val="auto"/>
          <w:spacing w:val="0"/>
          <w:kern w:val="0"/>
          <w:sz w:val="32"/>
          <w:szCs w:val="32"/>
          <w:lang w:val="en-US" w:eastAsia="zh-CN" w:bidi="ar"/>
        </w:rPr>
      </w:pPr>
      <w:r>
        <w:rPr>
          <w:rFonts w:hint="eastAsia" w:ascii="仿宋_GB2312" w:hAnsi="仿宋_GB2312" w:eastAsia="仿宋_GB2312" w:cs="仿宋_GB2312"/>
          <w:i w:val="0"/>
          <w:iCs w:val="0"/>
          <w:caps w:val="0"/>
          <w:snapToGrid w:val="0"/>
          <w:color w:val="auto"/>
          <w:spacing w:val="0"/>
          <w:kern w:val="0"/>
          <w:sz w:val="32"/>
          <w:szCs w:val="32"/>
          <w:lang w:val="en-US" w:eastAsia="zh-CN" w:bidi="ar"/>
        </w:rPr>
        <w:t>各区市人力资源和社会保障局、工业和信息化局，国家级开发区科技创新局、经济发展局，南海新区党群与人力资源部、科技金融局，市直各部门、单位：</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仿宋_GB2312" w:hAnsi="仿宋_GB2312" w:eastAsia="仿宋_GB2312" w:cs="仿宋_GB2312"/>
          <w:i w:val="0"/>
          <w:iCs w:val="0"/>
          <w:caps w:val="0"/>
          <w:color w:val="auto"/>
          <w:spacing w:val="8"/>
          <w:sz w:val="32"/>
          <w:szCs w:val="32"/>
          <w:shd w:val="clear" w:fill="FFFFFF"/>
          <w:lang w:eastAsia="zh-CN"/>
        </w:rPr>
      </w:pPr>
      <w:r>
        <w:rPr>
          <w:rFonts w:hint="eastAsia" w:ascii="仿宋_GB2312" w:hAnsi="仿宋_GB2312" w:eastAsia="仿宋_GB2312" w:cs="仿宋_GB2312"/>
          <w:i w:val="0"/>
          <w:iCs w:val="0"/>
          <w:caps w:val="0"/>
          <w:snapToGrid w:val="0"/>
          <w:color w:val="auto"/>
          <w:spacing w:val="0"/>
          <w:kern w:val="0"/>
          <w:sz w:val="32"/>
          <w:szCs w:val="32"/>
          <w:lang w:val="en-US" w:eastAsia="zh-CN" w:bidi="ar"/>
        </w:rPr>
        <w:t>为贯彻落实山东省人力资源和社会保障厅 山东省工业和信息化厅《关于印发创新专精特新中小企业和制造业单项冠军企业职称评审机制若干措施的通知》（鲁人社字〔2022〕129号</w:t>
      </w:r>
      <w:r>
        <w:rPr>
          <w:rFonts w:hint="eastAsia" w:ascii="仿宋_GB2312" w:hAnsi="仿宋_GB2312" w:eastAsia="仿宋_GB2312" w:cs="仿宋_GB2312"/>
          <w:i w:val="0"/>
          <w:iCs w:val="0"/>
          <w:caps w:val="0"/>
          <w:color w:val="auto"/>
          <w:spacing w:val="8"/>
          <w:sz w:val="32"/>
          <w:szCs w:val="32"/>
          <w:shd w:val="clear" w:fill="FFFFFF"/>
          <w:lang w:eastAsia="zh-CN"/>
        </w:rPr>
        <w:t>），</w:t>
      </w:r>
      <w:r>
        <w:rPr>
          <w:rFonts w:hint="eastAsia" w:ascii="仿宋_GB2312" w:hAnsi="仿宋_GB2312" w:eastAsia="仿宋_GB2312" w:cs="仿宋_GB2312"/>
          <w:i w:val="0"/>
          <w:iCs w:val="0"/>
          <w:caps w:val="0"/>
          <w:color w:val="auto"/>
          <w:spacing w:val="8"/>
          <w:sz w:val="32"/>
          <w:szCs w:val="32"/>
          <w:shd w:val="clear" w:fill="FFFFFF"/>
        </w:rPr>
        <w:t>进一步发挥职称评审导向作用，释放</w:t>
      </w:r>
      <w:r>
        <w:rPr>
          <w:rFonts w:hint="eastAsia" w:ascii="仿宋_GB2312" w:hAnsi="仿宋_GB2312" w:eastAsia="仿宋_GB2312" w:cs="仿宋_GB2312"/>
          <w:i w:val="0"/>
          <w:iCs w:val="0"/>
          <w:caps w:val="0"/>
          <w:color w:val="auto"/>
          <w:spacing w:val="8"/>
          <w:sz w:val="32"/>
          <w:szCs w:val="32"/>
          <w:shd w:val="clear" w:fill="FFFFFF"/>
          <w:lang w:eastAsia="zh-CN"/>
        </w:rPr>
        <w:t>我市</w:t>
      </w:r>
      <w:r>
        <w:rPr>
          <w:rFonts w:hint="eastAsia" w:ascii="仿宋_GB2312" w:hAnsi="仿宋_GB2312" w:eastAsia="仿宋_GB2312" w:cs="仿宋_GB2312"/>
          <w:i w:val="0"/>
          <w:iCs w:val="0"/>
          <w:caps w:val="0"/>
          <w:color w:val="auto"/>
          <w:spacing w:val="8"/>
          <w:sz w:val="32"/>
          <w:szCs w:val="32"/>
          <w:shd w:val="clear" w:fill="FFFFFF"/>
        </w:rPr>
        <w:t>专业技术人</w:t>
      </w:r>
      <w:r>
        <w:rPr>
          <w:rFonts w:hint="eastAsia" w:ascii="仿宋_GB2312" w:hAnsi="仿宋_GB2312" w:eastAsia="仿宋_GB2312" w:cs="仿宋_GB2312"/>
          <w:i w:val="0"/>
          <w:iCs w:val="0"/>
          <w:caps w:val="0"/>
          <w:color w:val="auto"/>
          <w:spacing w:val="0"/>
          <w:sz w:val="32"/>
          <w:szCs w:val="32"/>
        </w:rPr>
        <w:t>才创新创造潜能，激发市场主体创新发展活力，</w:t>
      </w:r>
      <w:r>
        <w:rPr>
          <w:rFonts w:hint="eastAsia" w:ascii="仿宋_GB2312" w:hAnsi="仿宋_GB2312" w:eastAsia="仿宋_GB2312" w:cs="仿宋_GB2312"/>
          <w:i w:val="0"/>
          <w:iCs w:val="0"/>
          <w:caps w:val="0"/>
          <w:snapToGrid w:val="0"/>
          <w:color w:val="auto"/>
          <w:spacing w:val="0"/>
          <w:kern w:val="0"/>
          <w:sz w:val="32"/>
          <w:szCs w:val="32"/>
          <w:lang w:val="en-US" w:eastAsia="zh-CN" w:bidi="ar"/>
        </w:rPr>
        <w:t>现就做好我市专精特新中小企业和制造业单项冠军企业(以下简称“专精特新”企业)</w:t>
      </w:r>
      <w:r>
        <w:rPr>
          <w:rFonts w:hint="eastAsia" w:ascii="仿宋_GB2312" w:hAnsi="仿宋_GB2312" w:eastAsia="仿宋_GB2312" w:cs="仿宋_GB2312"/>
          <w:i w:val="0"/>
          <w:iCs w:val="0"/>
          <w:caps w:val="0"/>
          <w:color w:val="auto"/>
          <w:spacing w:val="8"/>
          <w:sz w:val="32"/>
          <w:szCs w:val="32"/>
          <w:shd w:val="clear" w:fill="FFFFFF"/>
        </w:rPr>
        <w:t>职称</w:t>
      </w:r>
      <w:r>
        <w:rPr>
          <w:rFonts w:hint="eastAsia" w:ascii="仿宋_GB2312" w:hAnsi="仿宋_GB2312" w:eastAsia="仿宋_GB2312" w:cs="仿宋_GB2312"/>
          <w:i w:val="0"/>
          <w:iCs w:val="0"/>
          <w:caps w:val="0"/>
          <w:color w:val="auto"/>
          <w:spacing w:val="8"/>
          <w:sz w:val="32"/>
          <w:szCs w:val="32"/>
          <w:shd w:val="clear" w:fill="FFFFFF"/>
          <w:lang w:eastAsia="zh-CN"/>
        </w:rPr>
        <w:t>评价工作通知如下：</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黑体" w:hAnsi="黑体" w:eastAsia="黑体" w:cs="黑体"/>
          <w:color w:val="auto"/>
          <w:sz w:val="32"/>
          <w:szCs w:val="32"/>
        </w:rPr>
      </w:pPr>
      <w:r>
        <w:rPr>
          <w:rFonts w:hint="eastAsia" w:ascii="黑体" w:hAnsi="黑体" w:eastAsia="黑体" w:cs="黑体"/>
          <w:i w:val="0"/>
          <w:iCs w:val="0"/>
          <w:caps w:val="0"/>
          <w:color w:val="auto"/>
          <w:spacing w:val="0"/>
          <w:sz w:val="32"/>
          <w:szCs w:val="32"/>
          <w:lang w:eastAsia="zh-CN"/>
        </w:rPr>
        <w:t>一</w:t>
      </w:r>
      <w:r>
        <w:rPr>
          <w:rFonts w:hint="eastAsia" w:ascii="黑体" w:hAnsi="黑体" w:eastAsia="黑体" w:cs="黑体"/>
          <w:i w:val="0"/>
          <w:iCs w:val="0"/>
          <w:caps w:val="0"/>
          <w:color w:val="auto"/>
          <w:spacing w:val="0"/>
          <w:sz w:val="32"/>
          <w:szCs w:val="32"/>
        </w:rPr>
        <w:t>、突出“专精特新”企业职称评审创新导向</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lang w:eastAsia="zh-CN"/>
        </w:rPr>
        <w:t>我市</w:t>
      </w:r>
      <w:r>
        <w:rPr>
          <w:rFonts w:hint="eastAsia" w:ascii="仿宋_GB2312" w:hAnsi="仿宋_GB2312" w:eastAsia="仿宋_GB2312" w:cs="仿宋_GB2312"/>
          <w:i w:val="0"/>
          <w:iCs w:val="0"/>
          <w:caps w:val="0"/>
          <w:color w:val="auto"/>
          <w:spacing w:val="0"/>
          <w:sz w:val="32"/>
          <w:szCs w:val="32"/>
        </w:rPr>
        <w:t>各级</w:t>
      </w:r>
      <w:r>
        <w:rPr>
          <w:rFonts w:hint="eastAsia" w:ascii="仿宋_GB2312" w:hAnsi="仿宋_GB2312" w:eastAsia="仿宋_GB2312" w:cs="仿宋_GB2312"/>
          <w:i w:val="0"/>
          <w:iCs w:val="0"/>
          <w:caps w:val="0"/>
          <w:color w:val="auto"/>
          <w:spacing w:val="0"/>
          <w:sz w:val="32"/>
          <w:szCs w:val="32"/>
          <w:lang w:eastAsia="zh-CN"/>
        </w:rPr>
        <w:t>相关专业</w:t>
      </w:r>
      <w:r>
        <w:rPr>
          <w:rFonts w:hint="eastAsia" w:ascii="仿宋_GB2312" w:hAnsi="仿宋_GB2312" w:eastAsia="仿宋_GB2312" w:cs="仿宋_GB2312"/>
          <w:i w:val="0"/>
          <w:iCs w:val="0"/>
          <w:caps w:val="0"/>
          <w:color w:val="auto"/>
          <w:spacing w:val="0"/>
          <w:sz w:val="32"/>
          <w:szCs w:val="32"/>
        </w:rPr>
        <w:t>职称评审委员会开展职称</w:t>
      </w:r>
      <w:r>
        <w:rPr>
          <w:rFonts w:hint="eastAsia" w:ascii="仿宋_GB2312" w:hAnsi="仿宋_GB2312" w:eastAsia="仿宋_GB2312" w:cs="仿宋_GB2312"/>
          <w:i w:val="0"/>
          <w:iCs w:val="0"/>
          <w:caps w:val="0"/>
          <w:color w:val="auto"/>
          <w:spacing w:val="0"/>
          <w:sz w:val="32"/>
          <w:szCs w:val="32"/>
          <w:lang w:eastAsia="zh-CN"/>
        </w:rPr>
        <w:t>申报</w:t>
      </w:r>
      <w:r>
        <w:rPr>
          <w:rFonts w:hint="eastAsia" w:ascii="仿宋_GB2312" w:hAnsi="仿宋_GB2312" w:eastAsia="仿宋_GB2312" w:cs="仿宋_GB2312"/>
          <w:i w:val="0"/>
          <w:iCs w:val="0"/>
          <w:caps w:val="0"/>
          <w:color w:val="auto"/>
          <w:spacing w:val="0"/>
          <w:sz w:val="32"/>
          <w:szCs w:val="32"/>
        </w:rPr>
        <w:t>评审时，要注重市场认可和对企业的实际贡献，将“专精特新”企业专业技术人才的技术创新、专利发明、成果转化、技术推广、标准制定、决策咨询、公共服务等方面取得的工作绩效、创新成果，作为职称评审的重要参考。</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黑体" w:hAnsi="黑体" w:eastAsia="黑体" w:cs="黑体"/>
          <w:i w:val="0"/>
          <w:iCs w:val="0"/>
          <w:caps w:val="0"/>
          <w:color w:val="auto"/>
          <w:spacing w:val="0"/>
          <w:sz w:val="32"/>
          <w:szCs w:val="32"/>
          <w:lang w:eastAsia="zh-CN"/>
        </w:rPr>
      </w:pPr>
      <w:r>
        <w:rPr>
          <w:rFonts w:hint="eastAsia" w:ascii="黑体" w:hAnsi="黑体" w:eastAsia="黑体" w:cs="黑体"/>
          <w:i w:val="0"/>
          <w:iCs w:val="0"/>
          <w:caps w:val="0"/>
          <w:color w:val="auto"/>
          <w:spacing w:val="0"/>
          <w:sz w:val="32"/>
          <w:szCs w:val="32"/>
          <w:lang w:eastAsia="zh-CN"/>
        </w:rPr>
        <w:t>二</w:t>
      </w:r>
      <w:r>
        <w:rPr>
          <w:rFonts w:hint="eastAsia" w:ascii="黑体" w:hAnsi="黑体" w:eastAsia="黑体" w:cs="黑体"/>
          <w:i w:val="0"/>
          <w:iCs w:val="0"/>
          <w:caps w:val="0"/>
          <w:color w:val="auto"/>
          <w:spacing w:val="0"/>
          <w:sz w:val="32"/>
          <w:szCs w:val="32"/>
        </w:rPr>
        <w:t>、</w:t>
      </w:r>
      <w:r>
        <w:rPr>
          <w:rFonts w:hint="eastAsia" w:ascii="黑体" w:hAnsi="黑体" w:eastAsia="黑体" w:cs="黑体"/>
          <w:i w:val="0"/>
          <w:iCs w:val="0"/>
          <w:caps w:val="0"/>
          <w:color w:val="auto"/>
          <w:spacing w:val="0"/>
          <w:sz w:val="32"/>
          <w:szCs w:val="32"/>
          <w:lang w:eastAsia="zh-CN"/>
        </w:rPr>
        <w:t>实行</w:t>
      </w:r>
      <w:r>
        <w:rPr>
          <w:rFonts w:hint="eastAsia" w:ascii="黑体" w:hAnsi="黑体" w:eastAsia="黑体" w:cs="黑体"/>
          <w:i w:val="0"/>
          <w:iCs w:val="0"/>
          <w:caps w:val="0"/>
          <w:color w:val="auto"/>
          <w:spacing w:val="0"/>
          <w:sz w:val="32"/>
          <w:szCs w:val="32"/>
        </w:rPr>
        <w:t>“专精特新”企业职称申报举荐制</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left="0" w:right="0" w:firstLine="420"/>
        <w:jc w:val="both"/>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i w:val="0"/>
          <w:iCs w:val="0"/>
          <w:caps w:val="0"/>
          <w:color w:val="auto"/>
          <w:spacing w:val="0"/>
          <w:sz w:val="32"/>
          <w:szCs w:val="32"/>
        </w:rPr>
        <w:t>“专精特新”企业内具有突出技术创新能力、取得原创性科技成果以及作出重大贡献的优秀工程技术人才，经企业董事长(或研发团队技术带头人)署名举荐，可不受原职称资格、学历资历、工作年限、继续教育等条件限制，直接申报工程技术系列高级职称。国家级</w:t>
      </w:r>
      <w:r>
        <w:rPr>
          <w:rFonts w:hint="eastAsia" w:ascii="仿宋_GB2312" w:hAnsi="仿宋_GB2312" w:eastAsia="仿宋_GB2312" w:cs="仿宋_GB2312"/>
          <w:i w:val="0"/>
          <w:iCs w:val="0"/>
          <w:caps w:val="0"/>
          <w:color w:val="auto"/>
          <w:spacing w:val="0"/>
          <w:sz w:val="32"/>
          <w:szCs w:val="32"/>
          <w:lang w:eastAsia="zh-CN"/>
        </w:rPr>
        <w:t>的</w:t>
      </w:r>
      <w:r>
        <w:rPr>
          <w:rFonts w:hint="eastAsia" w:ascii="仿宋_GB2312" w:hAnsi="仿宋_GB2312" w:eastAsia="仿宋_GB2312" w:cs="仿宋_GB2312"/>
          <w:i w:val="0"/>
          <w:iCs w:val="0"/>
          <w:caps w:val="0"/>
          <w:color w:val="auto"/>
          <w:spacing w:val="0"/>
          <w:sz w:val="32"/>
          <w:szCs w:val="32"/>
        </w:rPr>
        <w:t>“专精特新”企业，每年度最多可举荐2人直接申报高级职称(其中，申报正高级最多1人);省级</w:t>
      </w:r>
      <w:r>
        <w:rPr>
          <w:rFonts w:hint="eastAsia" w:ascii="仿宋_GB2312" w:hAnsi="仿宋_GB2312" w:eastAsia="仿宋_GB2312" w:cs="仿宋_GB2312"/>
          <w:i w:val="0"/>
          <w:iCs w:val="0"/>
          <w:caps w:val="0"/>
          <w:color w:val="auto"/>
          <w:spacing w:val="0"/>
          <w:sz w:val="32"/>
          <w:szCs w:val="32"/>
          <w:lang w:eastAsia="zh-CN"/>
        </w:rPr>
        <w:t>的</w:t>
      </w:r>
      <w:r>
        <w:rPr>
          <w:rFonts w:hint="eastAsia" w:ascii="仿宋_GB2312" w:hAnsi="仿宋_GB2312" w:eastAsia="仿宋_GB2312" w:cs="仿宋_GB2312"/>
          <w:i w:val="0"/>
          <w:iCs w:val="0"/>
          <w:caps w:val="0"/>
          <w:color w:val="auto"/>
          <w:spacing w:val="0"/>
          <w:sz w:val="32"/>
          <w:szCs w:val="32"/>
        </w:rPr>
        <w:t>“专精特新”企业，每年度可举荐1人直接申报副高级职称。</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黑体" w:hAnsi="黑体" w:eastAsia="黑体" w:cs="黑体"/>
          <w:i w:val="0"/>
          <w:caps w:val="0"/>
          <w:color w:val="auto"/>
          <w:spacing w:val="0"/>
          <w:kern w:val="0"/>
          <w:sz w:val="32"/>
          <w:szCs w:val="32"/>
          <w:u w:val="none"/>
          <w:lang w:val="en-US" w:eastAsia="zh-CN" w:bidi="ar"/>
        </w:rPr>
      </w:pPr>
      <w:r>
        <w:rPr>
          <w:rFonts w:hint="eastAsia" w:ascii="黑体" w:hAnsi="黑体" w:eastAsia="黑体" w:cs="黑体"/>
          <w:i w:val="0"/>
          <w:iCs w:val="0"/>
          <w:caps w:val="0"/>
          <w:color w:val="auto"/>
          <w:spacing w:val="0"/>
          <w:sz w:val="32"/>
          <w:szCs w:val="32"/>
          <w:lang w:eastAsia="zh-CN"/>
        </w:rPr>
        <w:t>三、</w:t>
      </w:r>
      <w:r>
        <w:rPr>
          <w:rFonts w:hint="eastAsia" w:ascii="黑体" w:hAnsi="黑体" w:eastAsia="黑体" w:cs="黑体"/>
          <w:i w:val="0"/>
          <w:caps w:val="0"/>
          <w:color w:val="auto"/>
          <w:spacing w:val="0"/>
          <w:kern w:val="0"/>
          <w:sz w:val="32"/>
          <w:szCs w:val="32"/>
          <w:u w:val="none"/>
          <w:lang w:val="en-US" w:eastAsia="zh-CN" w:bidi="ar"/>
        </w:rPr>
        <w:t>支持</w:t>
      </w:r>
      <w:r>
        <w:rPr>
          <w:rFonts w:hint="eastAsia" w:ascii="黑体" w:hAnsi="黑体" w:eastAsia="黑体" w:cs="黑体"/>
          <w:i w:val="0"/>
          <w:iCs w:val="0"/>
          <w:caps w:val="0"/>
          <w:color w:val="auto"/>
          <w:spacing w:val="0"/>
          <w:sz w:val="32"/>
          <w:szCs w:val="32"/>
        </w:rPr>
        <w:t>“专精特新”企业</w:t>
      </w:r>
      <w:r>
        <w:rPr>
          <w:rFonts w:hint="eastAsia" w:ascii="黑体" w:hAnsi="黑体" w:eastAsia="黑体" w:cs="黑体"/>
          <w:i w:val="0"/>
          <w:caps w:val="0"/>
          <w:color w:val="auto"/>
          <w:spacing w:val="0"/>
          <w:kern w:val="0"/>
          <w:sz w:val="32"/>
          <w:szCs w:val="32"/>
          <w:u w:val="none"/>
          <w:lang w:val="en-US" w:eastAsia="zh-CN" w:bidi="ar"/>
        </w:rPr>
        <w:t>自主开展工程技术职称评审</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i w:val="0"/>
          <w:iCs w:val="0"/>
          <w:caps w:val="0"/>
          <w:snapToGrid w:val="0"/>
          <w:color w:val="auto"/>
          <w:spacing w:val="0"/>
          <w:kern w:val="0"/>
          <w:sz w:val="32"/>
          <w:szCs w:val="32"/>
          <w:lang w:val="en-US" w:eastAsia="zh-CN" w:bidi="ar"/>
        </w:rPr>
      </w:pPr>
      <w:r>
        <w:rPr>
          <w:rFonts w:hint="eastAsia" w:ascii="仿宋_GB2312" w:hAnsi="仿宋_GB2312" w:eastAsia="仿宋_GB2312" w:cs="仿宋_GB2312"/>
          <w:i w:val="0"/>
          <w:iCs w:val="0"/>
          <w:caps w:val="0"/>
          <w:snapToGrid w:val="0"/>
          <w:color w:val="auto"/>
          <w:spacing w:val="0"/>
          <w:kern w:val="0"/>
          <w:sz w:val="32"/>
          <w:szCs w:val="32"/>
          <w:lang w:val="en-US" w:eastAsia="zh-CN" w:bidi="ar"/>
        </w:rPr>
        <w:t>支持专业技术人员密集、人力资源管理规范、有自主评审意愿的“专精特新”企业申请自主开展工程技术中、初级职称评审，鼓励企业将职称评审与用人和薪酬激励制度有效衔接，将日常生产经营具体工作、绩效评价标准与人才使用、人才评价标准相统一，使工作绩效提升与人才职业发展互相促进，激励专业技术人才为生产经营业绩和专业技术水平的提升而努力，发挥职称评审对提高人才培养质量的导向作用。符合条件的企业按照管理权限向市、区市人力资源社会保障部门提出申请。</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黑体" w:hAnsi="黑体" w:eastAsia="黑体" w:cs="黑体"/>
          <w:i w:val="0"/>
          <w:iCs w:val="0"/>
          <w:caps w:val="0"/>
          <w:color w:val="auto"/>
          <w:spacing w:val="0"/>
          <w:sz w:val="32"/>
          <w:szCs w:val="32"/>
        </w:rPr>
      </w:pPr>
      <w:r>
        <w:rPr>
          <w:rFonts w:hint="eastAsia" w:ascii="黑体" w:hAnsi="黑体" w:eastAsia="黑体" w:cs="黑体"/>
          <w:i w:val="0"/>
          <w:iCs w:val="0"/>
          <w:caps w:val="0"/>
          <w:color w:val="auto"/>
          <w:spacing w:val="0"/>
          <w:sz w:val="32"/>
          <w:szCs w:val="32"/>
          <w:lang w:eastAsia="zh-CN"/>
        </w:rPr>
        <w:t>四、</w:t>
      </w:r>
      <w:r>
        <w:rPr>
          <w:rFonts w:hint="eastAsia" w:ascii="黑体" w:hAnsi="黑体" w:eastAsia="黑体" w:cs="黑体"/>
          <w:i w:val="0"/>
          <w:iCs w:val="0"/>
          <w:caps w:val="0"/>
          <w:color w:val="auto"/>
          <w:spacing w:val="0"/>
          <w:sz w:val="32"/>
          <w:szCs w:val="32"/>
        </w:rPr>
        <w:t>支持“专精特新”企业建立特色专业职称评审委员会</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具备条件的“专精特新”企业可根据新职业、新群体等特色专业人才发展需求，参照《关于向开发区下放特色专业职称评审权有关问题的通知》(鲁人社字〔2019〕208号)的相关要求，申请组建相应层级的职称评审委员会，在不低于国家和我省相应系列职称评价标准的基础上，科学制定特色专业人才职称评价标准条件，按照《山东省职称评审管理服务实施办法》(鲁人社规〔2021〕1号)等有关规定，面向全省开展特色专业职称评审工作。特色专业职称评审结果省内通用。</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lang w:eastAsia="zh-CN"/>
        </w:rPr>
        <w:t>已组建的</w:t>
      </w:r>
      <w:r>
        <w:rPr>
          <w:rFonts w:hint="eastAsia" w:ascii="仿宋_GB2312" w:hAnsi="仿宋_GB2312" w:eastAsia="仿宋_GB2312" w:cs="仿宋_GB2312"/>
          <w:i w:val="0"/>
          <w:iCs w:val="0"/>
          <w:caps w:val="0"/>
          <w:color w:val="auto"/>
          <w:spacing w:val="0"/>
          <w:sz w:val="32"/>
          <w:szCs w:val="32"/>
        </w:rPr>
        <w:t>特色专业职称评审委员会</w:t>
      </w:r>
      <w:r>
        <w:rPr>
          <w:rFonts w:hint="eastAsia" w:ascii="仿宋_GB2312" w:hAnsi="仿宋_GB2312" w:eastAsia="仿宋_GB2312" w:cs="仿宋_GB2312"/>
          <w:i w:val="0"/>
          <w:iCs w:val="0"/>
          <w:caps w:val="0"/>
          <w:color w:val="auto"/>
          <w:spacing w:val="0"/>
          <w:sz w:val="32"/>
          <w:szCs w:val="32"/>
          <w:lang w:eastAsia="zh-CN"/>
        </w:rPr>
        <w:t>，在</w:t>
      </w:r>
      <w:r>
        <w:rPr>
          <w:rFonts w:hint="eastAsia" w:ascii="仿宋_GB2312" w:hAnsi="仿宋_GB2312" w:eastAsia="仿宋_GB2312" w:cs="仿宋_GB2312"/>
          <w:i w:val="0"/>
          <w:iCs w:val="0"/>
          <w:caps w:val="0"/>
          <w:color w:val="auto"/>
          <w:spacing w:val="0"/>
          <w:sz w:val="32"/>
          <w:szCs w:val="32"/>
        </w:rPr>
        <w:t>制定或修订职称评审标准时，要统筹考虑</w:t>
      </w:r>
      <w:r>
        <w:rPr>
          <w:rFonts w:hint="eastAsia" w:ascii="仿宋_GB2312" w:hAnsi="仿宋_GB2312" w:eastAsia="仿宋_GB2312" w:cs="仿宋_GB2312"/>
          <w:i w:val="0"/>
          <w:iCs w:val="0"/>
          <w:caps w:val="0"/>
          <w:color w:val="auto"/>
          <w:spacing w:val="0"/>
          <w:sz w:val="32"/>
          <w:szCs w:val="32"/>
          <w:lang w:eastAsia="zh-CN"/>
        </w:rPr>
        <w:t>特色行业内</w:t>
      </w:r>
      <w:r>
        <w:rPr>
          <w:rFonts w:hint="eastAsia" w:ascii="仿宋_GB2312" w:hAnsi="仿宋_GB2312" w:eastAsia="仿宋_GB2312" w:cs="仿宋_GB2312"/>
          <w:i w:val="0"/>
          <w:iCs w:val="0"/>
          <w:caps w:val="0"/>
          <w:color w:val="auto"/>
          <w:spacing w:val="0"/>
          <w:sz w:val="32"/>
          <w:szCs w:val="32"/>
        </w:rPr>
        <w:t>“专精特新”企业专业技术人员工作实际和企业用人需求，借鉴龙头骨干企业人才评价标准，注重市场认可和对企业的实际贡献</w:t>
      </w:r>
      <w:r>
        <w:rPr>
          <w:rFonts w:hint="eastAsia" w:ascii="仿宋_GB2312" w:hAnsi="仿宋_GB2312" w:eastAsia="仿宋_GB2312" w:cs="仿宋_GB2312"/>
          <w:i w:val="0"/>
          <w:iCs w:val="0"/>
          <w:caps w:val="0"/>
          <w:color w:val="auto"/>
          <w:spacing w:val="0"/>
          <w:sz w:val="32"/>
          <w:szCs w:val="32"/>
          <w:lang w:eastAsia="zh-CN"/>
        </w:rPr>
        <w:t>，树立创新评价导向</w:t>
      </w:r>
      <w:r>
        <w:rPr>
          <w:rFonts w:hint="eastAsia" w:ascii="仿宋_GB2312" w:hAnsi="仿宋_GB2312" w:eastAsia="仿宋_GB2312" w:cs="仿宋_GB2312"/>
          <w:i w:val="0"/>
          <w:iCs w:val="0"/>
          <w:caps w:val="0"/>
          <w:color w:val="auto"/>
          <w:spacing w:val="0"/>
          <w:sz w:val="32"/>
          <w:szCs w:val="32"/>
        </w:rPr>
        <w:t>。</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黑体" w:hAnsi="黑体" w:eastAsia="黑体" w:cs="黑体"/>
          <w:i w:val="0"/>
          <w:iCs w:val="0"/>
          <w:caps w:val="0"/>
          <w:snapToGrid w:val="0"/>
          <w:color w:val="auto"/>
          <w:spacing w:val="0"/>
          <w:kern w:val="0"/>
          <w:sz w:val="32"/>
          <w:szCs w:val="32"/>
          <w:lang w:val="en-US" w:eastAsia="zh-CN" w:bidi="ar"/>
        </w:rPr>
      </w:pPr>
      <w:r>
        <w:rPr>
          <w:rFonts w:hint="eastAsia" w:ascii="黑体" w:hAnsi="黑体" w:eastAsia="黑体" w:cs="黑体"/>
          <w:i w:val="0"/>
          <w:iCs w:val="0"/>
          <w:caps w:val="0"/>
          <w:snapToGrid w:val="0"/>
          <w:color w:val="auto"/>
          <w:spacing w:val="0"/>
          <w:kern w:val="0"/>
          <w:sz w:val="32"/>
          <w:szCs w:val="32"/>
          <w:lang w:val="en-US" w:eastAsia="zh-CN" w:bidi="ar"/>
        </w:rPr>
        <w:t>五、鼓励“专精特新”企业人</w:t>
      </w:r>
      <w:r>
        <w:rPr>
          <w:rFonts w:hint="eastAsia" w:ascii="黑体" w:hAnsi="黑体" w:eastAsia="黑体" w:cs="黑体"/>
          <w:i w:val="0"/>
          <w:iCs w:val="0"/>
          <w:caps w:val="0"/>
          <w:snapToGrid w:val="0"/>
          <w:color w:val="000000" w:themeColor="text1"/>
          <w:spacing w:val="0"/>
          <w:kern w:val="0"/>
          <w:sz w:val="32"/>
          <w:szCs w:val="32"/>
          <w:lang w:val="en-US" w:eastAsia="zh-CN" w:bidi="ar"/>
          <w14:textFill>
            <w14:solidFill>
              <w14:schemeClr w14:val="tx1"/>
            </w14:solidFill>
          </w14:textFill>
        </w:rPr>
        <w:t>才复合型、跨越式发</w:t>
      </w:r>
      <w:r>
        <w:rPr>
          <w:rFonts w:hint="eastAsia" w:ascii="黑体" w:hAnsi="黑体" w:eastAsia="黑体" w:cs="黑体"/>
          <w:i w:val="0"/>
          <w:iCs w:val="0"/>
          <w:caps w:val="0"/>
          <w:snapToGrid w:val="0"/>
          <w:color w:val="auto"/>
          <w:spacing w:val="0"/>
          <w:kern w:val="0"/>
          <w:sz w:val="32"/>
          <w:szCs w:val="32"/>
          <w:lang w:val="en-US" w:eastAsia="zh-CN" w:bidi="ar"/>
        </w:rPr>
        <w:t>展</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“专精特新”企业中从事多种技术工作的专业技术人员，已取得一个系列</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rPr>
        <w:t>专业</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rPr>
        <w:t>职称，且符合其他职称评价标准条件的</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rPr>
        <w:t>可申报评审其他同层级职称；符合“以考代评”职称系列</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rPr>
        <w:t>专业</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rPr>
        <w:t>考试报名条件的，可参加相应层级职称考试。根据《关于工程技术领域高技能人才与工程技术人才职业贯通发展的实施意见》(鲁人社发〔2020〕16号)和《关于进一步做好高技能人才和专业技术人才职业发展贯通工作的通知》(鲁人社字〔2021〕70号)等有关规定，“专精特新”企业中具有高级工及以上职业资格或职业技能等级的技能人才，可参加相对应的专业技术职称评审；具有初级及以上职称的专业技术人才，可参加相对应的职业(工种)技能评价。</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t>放宽“专精特新”企业中</w:t>
      </w:r>
      <w:r>
        <w:rPr>
          <w:rFonts w:hint="eastAsia" w:ascii="仿宋_GB2312" w:hAnsi="仿宋_GB2312" w:eastAsia="仿宋_GB2312" w:cs="仿宋_GB2312"/>
          <w:i w:val="0"/>
          <w:iCs w:val="0"/>
          <w:caps w:val="0"/>
          <w:color w:val="000000" w:themeColor="text1"/>
          <w:spacing w:val="0"/>
          <w:sz w:val="32"/>
          <w:szCs w:val="32"/>
          <w:lang w:eastAsia="zh-CN"/>
          <w14:textFill>
            <w14:solidFill>
              <w14:schemeClr w14:val="tx1"/>
            </w14:solidFill>
          </w14:textFill>
        </w:rPr>
        <w:t>从事</w:t>
      </w:r>
      <w:r>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t>工程技术专业</w:t>
      </w:r>
      <w:r>
        <w:rPr>
          <w:rFonts w:hint="eastAsia" w:ascii="仿宋_GB2312" w:hAnsi="仿宋_GB2312" w:eastAsia="仿宋_GB2312" w:cs="仿宋_GB2312"/>
          <w:i w:val="0"/>
          <w:iCs w:val="0"/>
          <w:caps w:val="0"/>
          <w:color w:val="000000" w:themeColor="text1"/>
          <w:spacing w:val="0"/>
          <w:sz w:val="32"/>
          <w:szCs w:val="32"/>
          <w:lang w:eastAsia="zh-CN"/>
          <w14:textFill>
            <w14:solidFill>
              <w14:schemeClr w14:val="tx1"/>
            </w14:solidFill>
          </w14:textFill>
        </w:rPr>
        <w:t>的</w:t>
      </w:r>
      <w:r>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t>高层次专业技术人才、急需紧缺人才、优秀青年人才等逐级申报初中级职称的限制，</w:t>
      </w:r>
      <w:r>
        <w:rPr>
          <w:rFonts w:hint="eastAsia" w:ascii="仿宋_GB2312" w:hAnsi="仿宋_GB2312" w:eastAsia="仿宋_GB2312" w:cs="仿宋_GB2312"/>
          <w:i w:val="0"/>
          <w:iCs w:val="0"/>
          <w:caps w:val="0"/>
          <w:color w:val="000000" w:themeColor="text1"/>
          <w:spacing w:val="0"/>
          <w:sz w:val="32"/>
          <w:szCs w:val="32"/>
          <w:lang w:eastAsia="zh-CN"/>
          <w14:textFill>
            <w14:solidFill>
              <w14:schemeClr w14:val="tx1"/>
            </w14:solidFill>
          </w14:textFill>
        </w:rPr>
        <w:t>按</w:t>
      </w:r>
      <w:r>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t>《关于优化职称评审管理服务工作的通知》(威人社办发〔2020〕50号)等有关规定</w:t>
      </w:r>
      <w:r>
        <w:rPr>
          <w:rFonts w:hint="eastAsia" w:ascii="仿宋_GB2312" w:hAnsi="仿宋_GB2312" w:eastAsia="仿宋_GB2312" w:cs="仿宋_GB2312"/>
          <w:i w:val="0"/>
          <w:iCs w:val="0"/>
          <w:caps w:val="0"/>
          <w:color w:val="000000" w:themeColor="text1"/>
          <w:spacing w:val="0"/>
          <w:sz w:val="32"/>
          <w:szCs w:val="32"/>
          <w:lang w:eastAsia="zh-CN"/>
          <w14:textFill>
            <w14:solidFill>
              <w14:schemeClr w14:val="tx1"/>
            </w14:solidFill>
          </w14:textFill>
        </w:rPr>
        <w:t>享受职称评审绿色通道，</w:t>
      </w:r>
      <w:r>
        <w:rPr>
          <w:rFonts w:hint="eastAsia" w:ascii="仿宋_GB2312" w:hAnsi="仿宋_GB2312" w:eastAsia="仿宋_GB2312" w:cs="仿宋_GB2312"/>
          <w:i w:val="0"/>
          <w:iCs w:val="0"/>
          <w:caps w:val="0"/>
          <w:color w:val="000000" w:themeColor="text1"/>
          <w:spacing w:val="0"/>
          <w:sz w:val="32"/>
          <w:szCs w:val="32"/>
          <w14:textFill>
            <w14:solidFill>
              <w14:schemeClr w14:val="tx1"/>
            </w14:solidFill>
          </w14:textFill>
        </w:rPr>
        <w:t>可根据自身的业绩情况直接申报参评相应级别的职称。</w:t>
      </w:r>
      <w:bookmarkStart w:id="0" w:name="_GoBack"/>
      <w:bookmarkEnd w:id="0"/>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黑体" w:hAnsi="黑体" w:eastAsia="黑体" w:cs="黑体"/>
          <w:i w:val="0"/>
          <w:iCs w:val="0"/>
          <w:caps w:val="0"/>
          <w:snapToGrid w:val="0"/>
          <w:color w:val="auto"/>
          <w:spacing w:val="0"/>
          <w:kern w:val="0"/>
          <w:sz w:val="32"/>
          <w:szCs w:val="32"/>
          <w:lang w:val="en-US" w:eastAsia="zh-CN" w:bidi="ar"/>
        </w:rPr>
      </w:pPr>
      <w:r>
        <w:rPr>
          <w:rFonts w:hint="eastAsia" w:ascii="黑体" w:hAnsi="黑体" w:eastAsia="黑体" w:cs="黑体"/>
          <w:i w:val="0"/>
          <w:iCs w:val="0"/>
          <w:caps w:val="0"/>
          <w:snapToGrid w:val="0"/>
          <w:color w:val="auto"/>
          <w:spacing w:val="0"/>
          <w:kern w:val="0"/>
          <w:sz w:val="32"/>
          <w:szCs w:val="32"/>
          <w:lang w:val="en-US" w:eastAsia="zh-CN" w:bidi="ar"/>
        </w:rPr>
        <w:t>六、支持“专精特新”企业人才参加数字技术工程师培育</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i w:val="0"/>
          <w:iCs w:val="0"/>
          <w:caps w:val="0"/>
          <w:color w:val="auto"/>
          <w:spacing w:val="0"/>
          <w:sz w:val="32"/>
          <w:szCs w:val="32"/>
          <w:lang w:eastAsia="zh-CN"/>
        </w:rPr>
        <w:t>支持</w:t>
      </w:r>
      <w:r>
        <w:rPr>
          <w:rFonts w:hint="eastAsia" w:ascii="仿宋_GB2312" w:hAnsi="仿宋_GB2312" w:eastAsia="仿宋_GB2312" w:cs="仿宋_GB2312"/>
          <w:i w:val="0"/>
          <w:iCs w:val="0"/>
          <w:caps w:val="0"/>
          <w:color w:val="auto"/>
          <w:spacing w:val="0"/>
          <w:sz w:val="32"/>
          <w:szCs w:val="32"/>
        </w:rPr>
        <w:t>“专精特新”企业技术技能人才参加数字技术工程师培育项目，参加培育项目取得的相应学时</w:t>
      </w:r>
      <w:r>
        <w:rPr>
          <w:rFonts w:hint="eastAsia" w:ascii="仿宋_GB2312" w:hAnsi="仿宋_GB2312" w:eastAsia="仿宋_GB2312" w:cs="仿宋_GB2312"/>
          <w:i w:val="0"/>
          <w:iCs w:val="0"/>
          <w:caps w:val="0"/>
          <w:color w:val="auto"/>
          <w:spacing w:val="0"/>
          <w:sz w:val="32"/>
          <w:szCs w:val="32"/>
          <w:lang w:eastAsia="zh-CN"/>
        </w:rPr>
        <w:t>可</w:t>
      </w:r>
      <w:r>
        <w:rPr>
          <w:rFonts w:hint="eastAsia" w:ascii="仿宋_GB2312" w:hAnsi="仿宋_GB2312" w:eastAsia="仿宋_GB2312" w:cs="仿宋_GB2312"/>
          <w:i w:val="0"/>
          <w:iCs w:val="0"/>
          <w:caps w:val="0"/>
          <w:color w:val="auto"/>
          <w:spacing w:val="0"/>
          <w:sz w:val="32"/>
          <w:szCs w:val="32"/>
        </w:rPr>
        <w:t>记入</w:t>
      </w:r>
      <w:r>
        <w:rPr>
          <w:rFonts w:hint="eastAsia" w:ascii="仿宋_GB2312" w:hAnsi="仿宋_GB2312" w:eastAsia="仿宋_GB2312" w:cs="仿宋_GB2312"/>
          <w:i w:val="0"/>
          <w:iCs w:val="0"/>
          <w:caps w:val="0"/>
          <w:color w:val="auto"/>
          <w:spacing w:val="0"/>
          <w:sz w:val="32"/>
          <w:szCs w:val="32"/>
          <w:lang w:eastAsia="zh-CN"/>
        </w:rPr>
        <w:t>我市</w:t>
      </w:r>
      <w:r>
        <w:rPr>
          <w:rFonts w:hint="eastAsia" w:ascii="仿宋_GB2312" w:hAnsi="仿宋_GB2312" w:eastAsia="仿宋_GB2312" w:cs="仿宋_GB2312"/>
          <w:i w:val="0"/>
          <w:iCs w:val="0"/>
          <w:caps w:val="0"/>
          <w:color w:val="auto"/>
          <w:spacing w:val="0"/>
          <w:sz w:val="32"/>
          <w:szCs w:val="32"/>
        </w:rPr>
        <w:t>专业技术人员继续教育学时管理；取得的专业技术等级证书，作为职称申报评审的重要依据，可认定中级、初级职称的，不再重复组织评审。</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黑体" w:hAnsi="黑体" w:eastAsia="黑体" w:cs="黑体"/>
          <w:i w:val="0"/>
          <w:iCs w:val="0"/>
          <w:caps w:val="0"/>
          <w:snapToGrid w:val="0"/>
          <w:color w:val="auto"/>
          <w:spacing w:val="0"/>
          <w:kern w:val="0"/>
          <w:sz w:val="32"/>
          <w:szCs w:val="32"/>
          <w:lang w:val="en-US" w:eastAsia="zh-CN" w:bidi="ar"/>
        </w:rPr>
      </w:pPr>
      <w:r>
        <w:rPr>
          <w:rFonts w:hint="eastAsia" w:ascii="黑体" w:hAnsi="黑体" w:eastAsia="黑体" w:cs="黑体"/>
          <w:i w:val="0"/>
          <w:iCs w:val="0"/>
          <w:caps w:val="0"/>
          <w:snapToGrid w:val="0"/>
          <w:color w:val="auto"/>
          <w:spacing w:val="0"/>
          <w:kern w:val="0"/>
          <w:sz w:val="32"/>
          <w:szCs w:val="32"/>
          <w:lang w:val="en-US" w:eastAsia="zh-CN" w:bidi="ar"/>
        </w:rPr>
        <w:t>七、吸纳“专精特新”企业专家参与评审活动</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积极遴选吸纳“专精特新”企业中具备正高级</w:t>
      </w:r>
      <w:r>
        <w:rPr>
          <w:rFonts w:hint="eastAsia" w:ascii="仿宋_GB2312" w:hAnsi="仿宋_GB2312" w:eastAsia="仿宋_GB2312" w:cs="仿宋_GB2312"/>
          <w:i w:val="0"/>
          <w:iCs w:val="0"/>
          <w:caps w:val="0"/>
          <w:color w:val="auto"/>
          <w:spacing w:val="0"/>
          <w:sz w:val="32"/>
          <w:szCs w:val="32"/>
          <w:lang w:eastAsia="zh-CN"/>
        </w:rPr>
        <w:t>或高级</w:t>
      </w:r>
      <w:r>
        <w:rPr>
          <w:rFonts w:hint="eastAsia" w:ascii="仿宋_GB2312" w:hAnsi="仿宋_GB2312" w:eastAsia="仿宋_GB2312" w:cs="仿宋_GB2312"/>
          <w:i w:val="0"/>
          <w:iCs w:val="0"/>
          <w:caps w:val="0"/>
          <w:color w:val="auto"/>
          <w:spacing w:val="0"/>
          <w:sz w:val="32"/>
          <w:szCs w:val="32"/>
        </w:rPr>
        <w:t>职称的技术专家，进入</w:t>
      </w:r>
      <w:r>
        <w:rPr>
          <w:rFonts w:hint="eastAsia" w:ascii="仿宋_GB2312" w:hAnsi="仿宋_GB2312" w:eastAsia="仿宋_GB2312" w:cs="仿宋_GB2312"/>
          <w:i w:val="0"/>
          <w:iCs w:val="0"/>
          <w:caps w:val="0"/>
          <w:color w:val="auto"/>
          <w:spacing w:val="0"/>
          <w:sz w:val="32"/>
          <w:szCs w:val="32"/>
          <w:lang w:eastAsia="zh-CN"/>
        </w:rPr>
        <w:t>相应</w:t>
      </w:r>
      <w:r>
        <w:rPr>
          <w:rFonts w:hint="eastAsia" w:ascii="仿宋_GB2312" w:hAnsi="仿宋_GB2312" w:eastAsia="仿宋_GB2312" w:cs="仿宋_GB2312"/>
          <w:i w:val="0"/>
          <w:iCs w:val="0"/>
          <w:caps w:val="0"/>
          <w:color w:val="auto"/>
          <w:spacing w:val="0"/>
          <w:sz w:val="32"/>
          <w:szCs w:val="32"/>
        </w:rPr>
        <w:t>职称评审评委库</w:t>
      </w:r>
      <w:r>
        <w:rPr>
          <w:rFonts w:hint="eastAsia" w:ascii="仿宋_GB2312" w:hAnsi="仿宋_GB2312" w:eastAsia="仿宋_GB2312" w:cs="仿宋_GB2312"/>
          <w:i w:val="0"/>
          <w:iCs w:val="0"/>
          <w:caps w:val="0"/>
          <w:color w:val="auto"/>
          <w:spacing w:val="0"/>
          <w:sz w:val="32"/>
          <w:szCs w:val="32"/>
          <w:lang w:eastAsia="zh-CN"/>
        </w:rPr>
        <w:t>或</w:t>
      </w:r>
      <w:r>
        <w:rPr>
          <w:rFonts w:hint="eastAsia" w:ascii="仿宋_GB2312" w:hAnsi="仿宋_GB2312" w:eastAsia="仿宋_GB2312" w:cs="仿宋_GB2312"/>
          <w:i w:val="0"/>
          <w:iCs w:val="0"/>
          <w:caps w:val="0"/>
          <w:color w:val="auto"/>
          <w:spacing w:val="0"/>
          <w:sz w:val="32"/>
          <w:szCs w:val="32"/>
        </w:rPr>
        <w:t>企业评审评委库，作为评委参与职称评审工作或企业资格等级评价评定等工作，不断提高职称评审和企业资格等级评价评定的精准性和实效性。全市各级职称评审委员会要积极遴选“专精特新”企业专家参与职称评审工作，不断提高职称评审的针对性、精准性</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rPr>
        <w:t>邀请“专精特新”企业技术专家参与职称制度改革、职称评价标准制定等政策调研、起草、论证工作。</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黑体" w:hAnsi="黑体" w:eastAsia="黑体" w:cs="黑体"/>
          <w:i w:val="0"/>
          <w:iCs w:val="0"/>
          <w:caps w:val="0"/>
          <w:snapToGrid w:val="0"/>
          <w:color w:val="auto"/>
          <w:spacing w:val="0"/>
          <w:kern w:val="0"/>
          <w:sz w:val="32"/>
          <w:szCs w:val="32"/>
          <w:lang w:val="en-US" w:eastAsia="zh-CN" w:bidi="ar"/>
        </w:rPr>
      </w:pPr>
      <w:r>
        <w:rPr>
          <w:rFonts w:hint="eastAsia" w:ascii="黑体" w:hAnsi="黑体" w:eastAsia="黑体" w:cs="黑体"/>
          <w:i w:val="0"/>
          <w:iCs w:val="0"/>
          <w:caps w:val="0"/>
          <w:snapToGrid w:val="0"/>
          <w:color w:val="auto"/>
          <w:spacing w:val="0"/>
          <w:kern w:val="0"/>
          <w:sz w:val="32"/>
          <w:szCs w:val="32"/>
          <w:lang w:val="en-US" w:eastAsia="zh-CN" w:bidi="ar"/>
        </w:rPr>
        <w:t>八、鼓励“专精特新”企业参与知识更新工程</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lang w:eastAsia="zh-CN"/>
        </w:rPr>
        <w:t>鼓励我市</w:t>
      </w:r>
      <w:r>
        <w:rPr>
          <w:rFonts w:hint="eastAsia" w:ascii="仿宋_GB2312" w:hAnsi="仿宋_GB2312" w:eastAsia="仿宋_GB2312" w:cs="仿宋_GB2312"/>
          <w:i w:val="0"/>
          <w:iCs w:val="0"/>
          <w:caps w:val="0"/>
          <w:color w:val="auto"/>
          <w:spacing w:val="0"/>
          <w:sz w:val="32"/>
          <w:szCs w:val="32"/>
        </w:rPr>
        <w:t>“专精特新”企业</w:t>
      </w:r>
      <w:r>
        <w:rPr>
          <w:rFonts w:hint="eastAsia" w:ascii="仿宋_GB2312" w:hAnsi="仿宋_GB2312" w:eastAsia="仿宋_GB2312" w:cs="仿宋_GB2312"/>
          <w:i w:val="0"/>
          <w:iCs w:val="0"/>
          <w:caps w:val="0"/>
          <w:color w:val="auto"/>
          <w:spacing w:val="0"/>
          <w:sz w:val="32"/>
          <w:szCs w:val="32"/>
          <w:lang w:eastAsia="zh-CN"/>
        </w:rPr>
        <w:t>积极组织参与</w:t>
      </w:r>
      <w:r>
        <w:rPr>
          <w:rFonts w:hint="eastAsia" w:ascii="仿宋_GB2312" w:hAnsi="仿宋_GB2312" w:eastAsia="仿宋_GB2312" w:cs="仿宋_GB2312"/>
          <w:i w:val="0"/>
          <w:iCs w:val="0"/>
          <w:caps w:val="0"/>
          <w:color w:val="auto"/>
          <w:spacing w:val="0"/>
          <w:sz w:val="32"/>
          <w:szCs w:val="32"/>
        </w:rPr>
        <w:t>专业技术人才培养计划专项。“专精特新”企业在申报市级高级研修项目和继续教育基地建设等项目时指标单列，积极推荐申报国家级</w:t>
      </w:r>
      <w:r>
        <w:rPr>
          <w:rFonts w:hint="eastAsia" w:ascii="仿宋_GB2312" w:hAnsi="仿宋_GB2312" w:eastAsia="仿宋_GB2312" w:cs="仿宋_GB2312"/>
          <w:i w:val="0"/>
          <w:iCs w:val="0"/>
          <w:caps w:val="0"/>
          <w:color w:val="auto"/>
          <w:spacing w:val="0"/>
          <w:sz w:val="32"/>
          <w:szCs w:val="32"/>
          <w:lang w:eastAsia="zh-CN"/>
        </w:rPr>
        <w:t>、省级</w:t>
      </w:r>
      <w:r>
        <w:rPr>
          <w:rFonts w:hint="eastAsia" w:ascii="仿宋_GB2312" w:hAnsi="仿宋_GB2312" w:eastAsia="仿宋_GB2312" w:cs="仿宋_GB2312"/>
          <w:i w:val="0"/>
          <w:iCs w:val="0"/>
          <w:caps w:val="0"/>
          <w:color w:val="auto"/>
          <w:spacing w:val="0"/>
          <w:sz w:val="32"/>
          <w:szCs w:val="32"/>
        </w:rPr>
        <w:t>高级研修项目和继续教育基地。</w:t>
      </w:r>
      <w:r>
        <w:rPr>
          <w:rFonts w:hint="eastAsia" w:ascii="仿宋_GB2312" w:hAnsi="仿宋_GB2312" w:eastAsia="仿宋_GB2312" w:cs="仿宋_GB2312"/>
          <w:i w:val="0"/>
          <w:iCs w:val="0"/>
          <w:caps w:val="0"/>
          <w:color w:val="auto"/>
          <w:spacing w:val="0"/>
          <w:sz w:val="32"/>
          <w:szCs w:val="32"/>
          <w:lang w:eastAsia="zh-CN"/>
        </w:rPr>
        <w:t>推荐符合条件的</w:t>
      </w:r>
      <w:r>
        <w:rPr>
          <w:rFonts w:hint="eastAsia" w:ascii="仿宋_GB2312" w:hAnsi="仿宋_GB2312" w:eastAsia="仿宋_GB2312" w:cs="仿宋_GB2312"/>
          <w:i w:val="0"/>
          <w:iCs w:val="0"/>
          <w:caps w:val="0"/>
          <w:color w:val="auto"/>
          <w:spacing w:val="0"/>
          <w:sz w:val="32"/>
          <w:szCs w:val="32"/>
        </w:rPr>
        <w:t>专精特新“小巨人”企业主要负责人以及高级经营管理人才</w:t>
      </w:r>
      <w:r>
        <w:rPr>
          <w:rFonts w:hint="eastAsia" w:ascii="仿宋_GB2312" w:hAnsi="仿宋_GB2312" w:eastAsia="仿宋_GB2312" w:cs="仿宋_GB2312"/>
          <w:i w:val="0"/>
          <w:iCs w:val="0"/>
          <w:caps w:val="0"/>
          <w:color w:val="auto"/>
          <w:spacing w:val="0"/>
          <w:sz w:val="32"/>
          <w:szCs w:val="32"/>
          <w:lang w:eastAsia="zh-CN"/>
        </w:rPr>
        <w:t>参加</w:t>
      </w:r>
      <w:r>
        <w:rPr>
          <w:rFonts w:hint="eastAsia" w:ascii="仿宋_GB2312" w:hAnsi="仿宋_GB2312" w:eastAsia="仿宋_GB2312" w:cs="仿宋_GB2312"/>
          <w:i w:val="0"/>
          <w:iCs w:val="0"/>
          <w:caps w:val="0"/>
          <w:color w:val="auto"/>
          <w:spacing w:val="0"/>
          <w:sz w:val="32"/>
          <w:szCs w:val="32"/>
        </w:rPr>
        <w:t>省、市组织的齐鲁经营管理人才训练营，组织赴省外、境外、世界500强企业等进行实训，培训实训经历记入专业技术人员继续教育学时管理和继续教育“学时银行”。</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黑体" w:hAnsi="黑体" w:eastAsia="黑体" w:cs="黑体"/>
          <w:i w:val="0"/>
          <w:iCs w:val="0"/>
          <w:caps w:val="0"/>
          <w:snapToGrid w:val="0"/>
          <w:color w:val="auto"/>
          <w:spacing w:val="0"/>
          <w:kern w:val="0"/>
          <w:sz w:val="32"/>
          <w:szCs w:val="32"/>
          <w:lang w:val="en-US" w:eastAsia="zh-CN" w:bidi="ar"/>
        </w:rPr>
      </w:pPr>
      <w:r>
        <w:rPr>
          <w:rFonts w:hint="eastAsia" w:ascii="黑体" w:hAnsi="黑体" w:eastAsia="黑体" w:cs="黑体"/>
          <w:i w:val="0"/>
          <w:iCs w:val="0"/>
          <w:caps w:val="0"/>
          <w:snapToGrid w:val="0"/>
          <w:color w:val="auto"/>
          <w:spacing w:val="0"/>
          <w:kern w:val="0"/>
          <w:sz w:val="32"/>
          <w:szCs w:val="32"/>
          <w:lang w:val="en-US" w:eastAsia="zh-CN" w:bidi="ar"/>
        </w:rPr>
        <w:t>九、健全职称评审诚信制度</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专精特新”企业职称评审倡导诚实守信和敬业精神，要严格标准条件，规范评审程序，严肃评审纪律，确保评审工作质量。建立职称申报举荐责任制，对举荐工作把关不严、弄虚作假的企业，一经发现，取消企业职称举荐资格，相关情况抄送工业和信息化部门，作为“专精特新”企业资质复核的重要参考。专业技术人员对本人申报行为负责，对通过提供虚假材料、剽窃他人作品和学术成果或者通过其他不正当手段取得职称的，一律撤销职称资格，并记入职称评审诚信档案库。</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黑体" w:hAnsi="黑体" w:eastAsia="黑体" w:cs="黑体"/>
          <w:i w:val="0"/>
          <w:iCs w:val="0"/>
          <w:caps w:val="0"/>
          <w:snapToGrid w:val="0"/>
          <w:color w:val="auto"/>
          <w:spacing w:val="0"/>
          <w:kern w:val="0"/>
          <w:sz w:val="32"/>
          <w:szCs w:val="32"/>
          <w:lang w:val="en-US" w:eastAsia="zh-CN" w:bidi="ar"/>
        </w:rPr>
      </w:pPr>
      <w:r>
        <w:rPr>
          <w:rFonts w:hint="eastAsia" w:ascii="黑体" w:hAnsi="黑体" w:eastAsia="黑体" w:cs="黑体"/>
          <w:i w:val="0"/>
          <w:iCs w:val="0"/>
          <w:caps w:val="0"/>
          <w:snapToGrid w:val="0"/>
          <w:color w:val="auto"/>
          <w:spacing w:val="0"/>
          <w:kern w:val="0"/>
          <w:sz w:val="32"/>
          <w:szCs w:val="32"/>
          <w:lang w:val="en-US" w:eastAsia="zh-CN" w:bidi="ar"/>
        </w:rPr>
        <w:t>十、加强政策宣传培训力度</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各级各部门要按照全</w:t>
      </w:r>
      <w:r>
        <w:rPr>
          <w:rFonts w:hint="eastAsia" w:ascii="仿宋_GB2312" w:hAnsi="仿宋_GB2312" w:eastAsia="仿宋_GB2312" w:cs="仿宋_GB2312"/>
          <w:i w:val="0"/>
          <w:iCs w:val="0"/>
          <w:caps w:val="0"/>
          <w:color w:val="auto"/>
          <w:spacing w:val="0"/>
          <w:sz w:val="32"/>
          <w:szCs w:val="32"/>
          <w:lang w:eastAsia="zh-CN"/>
        </w:rPr>
        <w:t>市</w:t>
      </w:r>
      <w:r>
        <w:rPr>
          <w:rFonts w:hint="eastAsia" w:ascii="仿宋_GB2312" w:hAnsi="仿宋_GB2312" w:eastAsia="仿宋_GB2312" w:cs="仿宋_GB2312"/>
          <w:i w:val="0"/>
          <w:iCs w:val="0"/>
          <w:caps w:val="0"/>
          <w:color w:val="auto"/>
          <w:spacing w:val="0"/>
          <w:sz w:val="32"/>
          <w:szCs w:val="32"/>
        </w:rPr>
        <w:t>统一部署</w:t>
      </w:r>
      <w:r>
        <w:rPr>
          <w:rFonts w:hint="eastAsia" w:ascii="仿宋_GB2312" w:hAnsi="仿宋_GB2312" w:eastAsia="仿宋_GB2312" w:cs="仿宋_GB2312"/>
          <w:i w:val="0"/>
          <w:iCs w:val="0"/>
          <w:caps w:val="0"/>
          <w:color w:val="auto"/>
          <w:spacing w:val="0"/>
          <w:sz w:val="32"/>
          <w:szCs w:val="32"/>
          <w:lang w:eastAsia="zh-CN"/>
        </w:rPr>
        <w:t>安排</w:t>
      </w:r>
      <w:r>
        <w:rPr>
          <w:rFonts w:hint="eastAsia" w:ascii="仿宋_GB2312" w:hAnsi="仿宋_GB2312" w:eastAsia="仿宋_GB2312" w:cs="仿宋_GB2312"/>
          <w:i w:val="0"/>
          <w:iCs w:val="0"/>
          <w:caps w:val="0"/>
          <w:color w:val="auto"/>
          <w:spacing w:val="0"/>
          <w:sz w:val="32"/>
          <w:szCs w:val="32"/>
        </w:rPr>
        <w:t>，每年定期开展职称申报评审服务专项行动，进一步做好对“专精特新”企业的职称政策宣传培训工作。要创新宣传方式方法，编制发放职称政策“明白纸”和职称工作“流程图”,开设职称政策云课堂、微视频等，线上线下结合，努力做到政策宣传及时精准、通俗易懂。要加强对“专精特新”企业人力资源</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rPr>
        <w:t>人事</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rPr>
        <w:t>管理部门的职称业务培训，引导其为专业技术人员做好职称政策解读及职称申报服务。</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left="0" w:right="0" w:firstLine="420"/>
        <w:jc w:val="both"/>
        <w:textAlignment w:val="baseline"/>
        <w:rPr>
          <w:rFonts w:hint="eastAsia" w:ascii="仿宋_GB2312" w:hAnsi="仿宋_GB2312" w:eastAsia="仿宋_GB2312" w:cs="仿宋_GB2312"/>
          <w:i w:val="0"/>
          <w:iCs w:val="0"/>
          <w:caps w:val="0"/>
          <w:color w:val="auto"/>
          <w:spacing w:val="0"/>
          <w:sz w:val="32"/>
          <w:szCs w:val="32"/>
        </w:rPr>
      </w:pP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left="0" w:right="0" w:firstLine="420"/>
        <w:jc w:val="both"/>
        <w:textAlignment w:val="baseline"/>
        <w:rPr>
          <w:rFonts w:hint="eastAsia" w:ascii="仿宋_GB2312" w:hAnsi="仿宋_GB2312" w:eastAsia="仿宋_GB2312" w:cs="仿宋_GB2312"/>
          <w:i w:val="0"/>
          <w:iCs w:val="0"/>
          <w:caps w:val="0"/>
          <w:color w:val="auto"/>
          <w:spacing w:val="0"/>
          <w:sz w:val="32"/>
          <w:szCs w:val="32"/>
        </w:rPr>
      </w:pP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left="0" w:right="0" w:firstLine="420"/>
        <w:jc w:val="both"/>
        <w:textAlignment w:val="baseline"/>
        <w:rPr>
          <w:rFonts w:hint="eastAsia" w:ascii="仿宋_GB2312" w:hAnsi="仿宋_GB2312" w:eastAsia="仿宋_GB2312" w:cs="仿宋_GB2312"/>
          <w:i w:val="0"/>
          <w:iCs w:val="0"/>
          <w:caps w:val="0"/>
          <w:color w:val="auto"/>
          <w:spacing w:val="0"/>
          <w:sz w:val="32"/>
          <w:szCs w:val="32"/>
        </w:rPr>
      </w:pP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960" w:firstLineChars="300"/>
        <w:jc w:val="both"/>
        <w:textAlignment w:val="baseline"/>
        <w:rPr>
          <w:rFonts w:hint="eastAsia" w:ascii="仿宋_GB2312" w:hAnsi="仿宋_GB2312" w:eastAsia="仿宋_GB2312" w:cs="仿宋_GB2312"/>
          <w:i w:val="0"/>
          <w:iCs w:val="0"/>
          <w:caps w:val="0"/>
          <w:color w:val="auto"/>
          <w:spacing w:val="0"/>
          <w:sz w:val="32"/>
          <w:szCs w:val="32"/>
          <w:lang w:eastAsia="zh-CN"/>
        </w:rPr>
      </w:pPr>
      <w:r>
        <w:rPr>
          <w:rFonts w:hint="eastAsia" w:ascii="仿宋_GB2312" w:hAnsi="仿宋_GB2312" w:eastAsia="仿宋_GB2312" w:cs="仿宋_GB2312"/>
          <w:i w:val="0"/>
          <w:iCs w:val="0"/>
          <w:caps w:val="0"/>
          <w:color w:val="auto"/>
          <w:spacing w:val="0"/>
          <w:sz w:val="32"/>
          <w:szCs w:val="32"/>
          <w:lang w:eastAsia="zh-CN"/>
        </w:rPr>
        <w:t>威海市</w:t>
      </w:r>
      <w:r>
        <w:rPr>
          <w:rFonts w:hint="eastAsia" w:ascii="仿宋_GB2312" w:hAnsi="仿宋_GB2312" w:eastAsia="仿宋_GB2312" w:cs="仿宋_GB2312"/>
          <w:i w:val="0"/>
          <w:iCs w:val="0"/>
          <w:caps w:val="0"/>
          <w:color w:val="auto"/>
          <w:spacing w:val="0"/>
          <w:sz w:val="32"/>
          <w:szCs w:val="32"/>
        </w:rPr>
        <w:t>人力资源和社会保障</w:t>
      </w:r>
      <w:r>
        <w:rPr>
          <w:rFonts w:hint="eastAsia" w:ascii="仿宋_GB2312" w:hAnsi="仿宋_GB2312" w:eastAsia="仿宋_GB2312" w:cs="仿宋_GB2312"/>
          <w:i w:val="0"/>
          <w:iCs w:val="0"/>
          <w:caps w:val="0"/>
          <w:color w:val="auto"/>
          <w:spacing w:val="0"/>
          <w:sz w:val="32"/>
          <w:szCs w:val="32"/>
          <w:lang w:eastAsia="zh-CN"/>
        </w:rPr>
        <w:t>局</w:t>
      </w:r>
      <w:r>
        <w:rPr>
          <w:rFonts w:hint="eastAsia" w:ascii="仿宋_GB2312" w:hAnsi="仿宋_GB2312" w:eastAsia="仿宋_GB2312" w:cs="仿宋_GB2312"/>
          <w:i w:val="0"/>
          <w:iCs w:val="0"/>
          <w:caps w:val="0"/>
          <w:color w:val="auto"/>
          <w:spacing w:val="0"/>
          <w:sz w:val="32"/>
          <w:szCs w:val="32"/>
          <w:lang w:val="en-US" w:eastAsia="zh-CN"/>
        </w:rPr>
        <w:t xml:space="preserve">   </w:t>
      </w:r>
      <w:r>
        <w:rPr>
          <w:rFonts w:hint="eastAsia" w:ascii="仿宋_GB2312" w:hAnsi="仿宋_GB2312" w:eastAsia="仿宋_GB2312" w:cs="仿宋_GB2312"/>
          <w:i w:val="0"/>
          <w:iCs w:val="0"/>
          <w:caps w:val="0"/>
          <w:color w:val="auto"/>
          <w:spacing w:val="0"/>
          <w:sz w:val="32"/>
          <w:szCs w:val="32"/>
          <w:lang w:eastAsia="zh-CN"/>
        </w:rPr>
        <w:t>威海市</w:t>
      </w:r>
      <w:r>
        <w:rPr>
          <w:rFonts w:hint="eastAsia" w:ascii="仿宋_GB2312" w:hAnsi="仿宋_GB2312" w:eastAsia="仿宋_GB2312" w:cs="仿宋_GB2312"/>
          <w:i w:val="0"/>
          <w:iCs w:val="0"/>
          <w:caps w:val="0"/>
          <w:color w:val="auto"/>
          <w:spacing w:val="0"/>
          <w:sz w:val="32"/>
          <w:szCs w:val="32"/>
        </w:rPr>
        <w:t>工业和信息化</w:t>
      </w:r>
      <w:r>
        <w:rPr>
          <w:rFonts w:hint="eastAsia" w:ascii="仿宋_GB2312" w:hAnsi="仿宋_GB2312" w:eastAsia="仿宋_GB2312" w:cs="仿宋_GB2312"/>
          <w:i w:val="0"/>
          <w:iCs w:val="0"/>
          <w:caps w:val="0"/>
          <w:color w:val="auto"/>
          <w:spacing w:val="0"/>
          <w:sz w:val="32"/>
          <w:szCs w:val="32"/>
          <w:lang w:eastAsia="zh-CN"/>
        </w:rPr>
        <w:t>局</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center"/>
        <w:textAlignment w:val="baseline"/>
        <w:rPr>
          <w:rFonts w:hint="eastAsia" w:ascii="仿宋_GB2312" w:hAnsi="仿宋_GB2312" w:eastAsia="仿宋_GB2312" w:cs="仿宋_GB2312"/>
          <w:i w:val="0"/>
          <w:iCs w:val="0"/>
          <w:caps w:val="0"/>
          <w:color w:val="auto"/>
          <w:spacing w:val="0"/>
          <w:sz w:val="32"/>
          <w:szCs w:val="32"/>
          <w:lang w:val="en-US" w:eastAsia="zh-CN"/>
        </w:rPr>
      </w:pPr>
      <w:r>
        <w:rPr>
          <w:rFonts w:hint="eastAsia" w:ascii="仿宋_GB2312" w:hAnsi="仿宋_GB2312" w:eastAsia="仿宋_GB2312" w:cs="仿宋_GB2312"/>
          <w:i w:val="0"/>
          <w:iCs w:val="0"/>
          <w:caps w:val="0"/>
          <w:color w:val="auto"/>
          <w:spacing w:val="0"/>
          <w:sz w:val="32"/>
          <w:szCs w:val="32"/>
          <w:lang w:val="en-US" w:eastAsia="zh-CN"/>
        </w:rPr>
        <w:t xml:space="preserve">                                 2022年11月16日</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center"/>
        <w:textAlignment w:val="baseline"/>
        <w:rPr>
          <w:rFonts w:hint="eastAsia" w:ascii="仿宋_GB2312" w:hAnsi="仿宋_GB2312" w:eastAsia="仿宋_GB2312" w:cs="仿宋_GB2312"/>
          <w:i w:val="0"/>
          <w:iCs w:val="0"/>
          <w:caps w:val="0"/>
          <w:color w:val="auto"/>
          <w:spacing w:val="0"/>
          <w:sz w:val="32"/>
          <w:szCs w:val="32"/>
          <w:lang w:val="en-US" w:eastAsia="zh-CN"/>
        </w:rPr>
      </w:pP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center"/>
        <w:textAlignment w:val="baseline"/>
        <w:rPr>
          <w:rFonts w:hint="eastAsia" w:ascii="仿宋_GB2312" w:hAnsi="仿宋_GB2312" w:eastAsia="仿宋_GB2312" w:cs="仿宋_GB2312"/>
          <w:i w:val="0"/>
          <w:iCs w:val="0"/>
          <w:caps w:val="0"/>
          <w:color w:val="auto"/>
          <w:spacing w:val="0"/>
          <w:sz w:val="32"/>
          <w:szCs w:val="32"/>
          <w:lang w:val="en-US" w:eastAsia="zh-CN"/>
        </w:rPr>
      </w:pPr>
    </w:p>
    <w:p>
      <w:pPr>
        <w:keepNext w:val="0"/>
        <w:keepLines w:val="0"/>
        <w:pageBreakBefore w:val="0"/>
        <w:kinsoku/>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（此件主动公开）</w:t>
      </w:r>
    </w:p>
    <w:p>
      <w:pPr>
        <w:keepNext w:val="0"/>
        <w:keepLines w:val="0"/>
        <w:pageBreakBefore w:val="0"/>
        <w:kinsoku/>
        <w:overflowPunct/>
        <w:topLinePunct w:val="0"/>
        <w:autoSpaceDE/>
        <w:autoSpaceDN/>
        <w:bidi w:val="0"/>
        <w:adjustRightInd/>
        <w:snapToGrid/>
        <w:spacing w:beforeAutospacing="0" w:afterAutospacing="0" w:line="240" w:lineRule="auto"/>
        <w:ind w:firstLine="640" w:firstLineChars="200"/>
        <w:textAlignment w:val="auto"/>
        <w:rPr>
          <w:rFonts w:hint="eastAsia" w:ascii="仿宋_GB2312" w:hAnsi="仿宋_GB2312" w:eastAsia="仿宋_GB2312" w:cs="仿宋_GB2312"/>
          <w:w w:val="66"/>
          <w:sz w:val="32"/>
          <w:szCs w:val="32"/>
        </w:rPr>
      </w:pPr>
      <w:r>
        <w:rPr>
          <w:rFonts w:hint="eastAsia" w:ascii="仿宋_GB2312" w:hAnsi="仿宋_GB2312" w:eastAsia="仿宋_GB2312" w:cs="仿宋_GB2312"/>
          <w:sz w:val="32"/>
          <w:szCs w:val="32"/>
        </w:rPr>
        <w:t>（联系单位：</w:t>
      </w:r>
      <w:r>
        <w:rPr>
          <w:rFonts w:hint="eastAsia" w:ascii="仿宋_GB2312" w:hAnsi="仿宋_GB2312" w:eastAsia="仿宋_GB2312" w:cs="仿宋_GB2312"/>
          <w:w w:val="95"/>
          <w:sz w:val="32"/>
          <w:szCs w:val="32"/>
          <w:lang w:eastAsia="zh-CN"/>
        </w:rPr>
        <w:t>市人力资源和社会保障局</w:t>
      </w:r>
      <w:r>
        <w:rPr>
          <w:rFonts w:hint="eastAsia" w:ascii="仿宋_GB2312" w:hAnsi="仿宋_GB2312" w:eastAsia="仿宋_GB2312" w:cs="仿宋_GB2312"/>
          <w:w w:val="95"/>
          <w:sz w:val="32"/>
          <w:szCs w:val="32"/>
        </w:rPr>
        <w:t>专业技术人员管理科）</w:t>
      </w:r>
    </w:p>
    <w:p>
      <w:pPr>
        <w:pStyle w:val="4"/>
        <w:keepNext w:val="0"/>
        <w:keepLines w:val="0"/>
        <w:pageBreakBefore w:val="0"/>
        <w:widowControl/>
        <w:suppressLineNumbers w:val="0"/>
        <w:kinsoku w:val="0"/>
        <w:wordWrap/>
        <w:overflowPunct/>
        <w:topLinePunct w:val="0"/>
        <w:autoSpaceDE w:val="0"/>
        <w:autoSpaceDN w:val="0"/>
        <w:bidi w:val="0"/>
        <w:adjustRightInd/>
        <w:snapToGrid/>
        <w:spacing w:before="0" w:beforeAutospacing="0" w:after="0" w:afterAutospacing="0" w:line="560" w:lineRule="exact"/>
        <w:ind w:right="0" w:firstLine="640" w:firstLineChars="200"/>
        <w:jc w:val="both"/>
        <w:textAlignment w:val="baseline"/>
        <w:rPr>
          <w:rFonts w:hint="eastAsia" w:ascii="仿宋_GB2312" w:hAnsi="仿宋_GB2312" w:eastAsia="仿宋_GB2312" w:cs="仿宋_GB2312"/>
          <w:i w:val="0"/>
          <w:iCs w:val="0"/>
          <w:caps w:val="0"/>
          <w:color w:val="auto"/>
          <w:spacing w:val="0"/>
          <w:sz w:val="32"/>
          <w:szCs w:val="32"/>
          <w:lang w:val="en-US" w:eastAsia="zh-CN"/>
        </w:rPr>
      </w:pPr>
    </w:p>
    <w:p>
      <w:pPr>
        <w:rPr>
          <w:rFonts w:hint="default"/>
          <w:lang w:val="en-US" w:eastAsia="zh-CN"/>
        </w:rPr>
      </w:pPr>
    </w:p>
    <w:sectPr>
      <w:footerReference r:id="rId5" w:type="default"/>
      <w:footerReference r:id="rId6" w:type="even"/>
      <w:pgSz w:w="11906" w:h="16838"/>
      <w:pgMar w:top="2098" w:right="1474" w:bottom="1984" w:left="1587" w:header="851" w:footer="1247" w:gutter="0"/>
      <w:pgNumType w:fmt="decimal"/>
      <w:cols w:space="0" w:num="1"/>
      <w:rtlGutter w:val="0"/>
      <w:docGrid w:type="lines" w:linePitch="57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PingFangSC">
    <w:altName w:val="仿宋_GB2312"/>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posOffset>4848225</wp:posOffset>
              </wp:positionH>
              <wp:positionV relativeFrom="paragraph">
                <wp:posOffset>0</wp:posOffset>
              </wp:positionV>
              <wp:extent cx="768350" cy="467360"/>
              <wp:effectExtent l="0" t="0" r="0" b="0"/>
              <wp:wrapNone/>
              <wp:docPr id="4" name="文本框 4"/>
              <wp:cNvGraphicFramePr/>
              <a:graphic xmlns:a="http://schemas.openxmlformats.org/drawingml/2006/main">
                <a:graphicData uri="http://schemas.microsoft.com/office/word/2010/wordprocessingShape">
                  <wps:wsp>
                    <wps:cNvSpPr txBox="1"/>
                    <wps:spPr>
                      <a:xfrm>
                        <a:off x="0" y="0"/>
                        <a:ext cx="768350" cy="4673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fldChar w:fldCharType="begin"/>
                          </w:r>
                          <w:r>
                            <w:rPr>
                              <w:rFonts w:hint="eastAsia" w:ascii="仿宋_GB2312" w:hAnsi="仿宋_GB2312" w:eastAsia="仿宋_GB2312" w:cs="仿宋_GB2312"/>
                              <w:sz w:val="28"/>
                              <w:szCs w:val="28"/>
                              <w:lang w:eastAsia="zh-CN"/>
                            </w:rPr>
                            <w:instrText xml:space="preserve"> PAGE  \* MERGEFORMAT </w:instrText>
                          </w:r>
                          <w:r>
                            <w:rPr>
                              <w:rFonts w:hint="eastAsia" w:ascii="仿宋_GB2312" w:hAnsi="仿宋_GB2312" w:eastAsia="仿宋_GB2312" w:cs="仿宋_GB2312"/>
                              <w:sz w:val="28"/>
                              <w:szCs w:val="28"/>
                              <w:lang w:eastAsia="zh-CN"/>
                            </w:rPr>
                            <w:fldChar w:fldCharType="separate"/>
                          </w:r>
                          <w:r>
                            <w:rPr>
                              <w:rFonts w:hint="eastAsia" w:ascii="仿宋_GB2312" w:hAnsi="仿宋_GB2312" w:eastAsia="仿宋_GB2312" w:cs="仿宋_GB2312"/>
                              <w:sz w:val="28"/>
                              <w:szCs w:val="28"/>
                              <w:lang w:eastAsia="zh-CN"/>
                            </w:rPr>
                            <w:t>1</w:t>
                          </w:r>
                          <w:r>
                            <w:rPr>
                              <w:rFonts w:hint="eastAsia" w:ascii="仿宋_GB2312" w:hAnsi="仿宋_GB2312" w:eastAsia="仿宋_GB2312" w:cs="仿宋_GB2312"/>
                              <w:sz w:val="28"/>
                              <w:szCs w:val="28"/>
                              <w:lang w:eastAsia="zh-CN"/>
                            </w:rPr>
                            <w:fldChar w:fldCharType="end"/>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t>—</w:t>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381.75pt;margin-top:0pt;height:36.8pt;width:60.5pt;mso-position-horizontal-relative:margin;z-index:251659264;mso-width-relative:page;mso-height-relative:page;" filled="f" stroked="f" coordsize="21600,21600" o:gfxdata="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ND9B2LVAAAABwEAAA8AAAAAAAAAAQAgAAAAIgAAAGRycy9kb3ducmV2Lnht&#10;bFBLAQIUABQAAAAIAIdO4kD+qho6NQIAAGEEAAAOAAAAAAAAAAEAIAAAACQBAABkcnMvZTJvRG9j&#10;LnhtbFBLBQYAAAAABgAGAFkBAADLBQAAAAA=&#10;">
              <v:fill on="f" focussize="0,0"/>
              <v:stroke on="f" weight="0.5pt"/>
              <v:imagedata o:title=""/>
              <o:lock v:ext="edit" aspectratio="f"/>
              <v:textbox inset="0mm,0mm,0mm,0mm">
                <w:txbxContent>
                  <w:p>
                    <w:pPr>
                      <w:pStyle w:val="2"/>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fldChar w:fldCharType="begin"/>
                    </w:r>
                    <w:r>
                      <w:rPr>
                        <w:rFonts w:hint="eastAsia" w:ascii="仿宋_GB2312" w:hAnsi="仿宋_GB2312" w:eastAsia="仿宋_GB2312" w:cs="仿宋_GB2312"/>
                        <w:sz w:val="28"/>
                        <w:szCs w:val="28"/>
                        <w:lang w:eastAsia="zh-CN"/>
                      </w:rPr>
                      <w:instrText xml:space="preserve"> PAGE  \* MERGEFORMAT </w:instrText>
                    </w:r>
                    <w:r>
                      <w:rPr>
                        <w:rFonts w:hint="eastAsia" w:ascii="仿宋_GB2312" w:hAnsi="仿宋_GB2312" w:eastAsia="仿宋_GB2312" w:cs="仿宋_GB2312"/>
                        <w:sz w:val="28"/>
                        <w:szCs w:val="28"/>
                        <w:lang w:eastAsia="zh-CN"/>
                      </w:rPr>
                      <w:fldChar w:fldCharType="separate"/>
                    </w:r>
                    <w:r>
                      <w:rPr>
                        <w:rFonts w:hint="eastAsia" w:ascii="仿宋_GB2312" w:hAnsi="仿宋_GB2312" w:eastAsia="仿宋_GB2312" w:cs="仿宋_GB2312"/>
                        <w:sz w:val="28"/>
                        <w:szCs w:val="28"/>
                        <w:lang w:eastAsia="zh-CN"/>
                      </w:rPr>
                      <w:t>1</w:t>
                    </w:r>
                    <w:r>
                      <w:rPr>
                        <w:rFonts w:hint="eastAsia" w:ascii="仿宋_GB2312" w:hAnsi="仿宋_GB2312" w:eastAsia="仿宋_GB2312" w:cs="仿宋_GB2312"/>
                        <w:sz w:val="28"/>
                        <w:szCs w:val="28"/>
                        <w:lang w:eastAsia="zh-CN"/>
                      </w:rPr>
                      <w:fldChar w:fldCharType="end"/>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72644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2644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fldChar w:fldCharType="begin"/>
                          </w:r>
                          <w:r>
                            <w:rPr>
                              <w:rFonts w:hint="eastAsia" w:ascii="仿宋_GB2312" w:hAnsi="仿宋_GB2312" w:eastAsia="仿宋_GB2312" w:cs="仿宋_GB2312"/>
                              <w:sz w:val="28"/>
                              <w:szCs w:val="28"/>
                              <w:lang w:eastAsia="zh-CN"/>
                            </w:rPr>
                            <w:instrText xml:space="preserve"> PAGE  \* MERGEFORMAT </w:instrText>
                          </w:r>
                          <w:r>
                            <w:rPr>
                              <w:rFonts w:hint="eastAsia" w:ascii="仿宋_GB2312" w:hAnsi="仿宋_GB2312" w:eastAsia="仿宋_GB2312" w:cs="仿宋_GB2312"/>
                              <w:sz w:val="28"/>
                              <w:szCs w:val="28"/>
                              <w:lang w:eastAsia="zh-CN"/>
                            </w:rPr>
                            <w:fldChar w:fldCharType="separate"/>
                          </w:r>
                          <w:r>
                            <w:rPr>
                              <w:rFonts w:hint="eastAsia" w:ascii="仿宋_GB2312" w:hAnsi="仿宋_GB2312" w:eastAsia="仿宋_GB2312" w:cs="仿宋_GB2312"/>
                              <w:sz w:val="28"/>
                              <w:szCs w:val="28"/>
                              <w:lang w:eastAsia="zh-CN"/>
                            </w:rPr>
                            <w:t>2</w:t>
                          </w:r>
                          <w:r>
                            <w:rPr>
                              <w:rFonts w:hint="eastAsia" w:ascii="仿宋_GB2312" w:hAnsi="仿宋_GB2312" w:eastAsia="仿宋_GB2312" w:cs="仿宋_GB2312"/>
                              <w:sz w:val="28"/>
                              <w:szCs w:val="28"/>
                              <w:lang w:eastAsia="zh-CN"/>
                            </w:rPr>
                            <w:fldChar w:fldCharType="end"/>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t>—</w:t>
                          </w:r>
                        </w:p>
                      </w:txbxContent>
                    </wps:txbx>
                    <wps:bodyPr rot="0" spcFirstLastPara="0" vertOverflow="overflow" horzOverflow="overflow" vert="horz" wrap="squar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57.2pt;mso-position-horizontal:outside;mso-position-horizontal-relative:margin;z-index:251660288;mso-width-relative:page;mso-height-relative:page;" filled="f" stroked="f" coordsize="21600,21600" o:gfxdata="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conng9QAAAAFAQAADwAAAAAAAAABACAAAAAiAAAAZHJzL2Rvd25yZXYu&#10;eG1sUEsBAhQAFAAAAAgAh07iQItSn4w4AgAAYgQAAA4AAAAAAAAAAQAgAAAAIwEAAGRycy9lMm9E&#10;b2MueG1sUEsFBgAAAAAGAAYAWQEAAM0FAAAAAA==&#10;">
              <v:fill on="f" focussize="0,0"/>
              <v:stroke on="f" weight="0.5pt"/>
              <v:imagedata o:title=""/>
              <o:lock v:ext="edit" aspectratio="f"/>
              <v:textbox inset="0mm,0mm,0mm,0mm" style="mso-fit-shape-to-text:t;">
                <w:txbxContent>
                  <w:p>
                    <w:pPr>
                      <w:pStyle w:val="2"/>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fldChar w:fldCharType="begin"/>
                    </w:r>
                    <w:r>
                      <w:rPr>
                        <w:rFonts w:hint="eastAsia" w:ascii="仿宋_GB2312" w:hAnsi="仿宋_GB2312" w:eastAsia="仿宋_GB2312" w:cs="仿宋_GB2312"/>
                        <w:sz w:val="28"/>
                        <w:szCs w:val="28"/>
                        <w:lang w:eastAsia="zh-CN"/>
                      </w:rPr>
                      <w:instrText xml:space="preserve"> PAGE  \* MERGEFORMAT </w:instrText>
                    </w:r>
                    <w:r>
                      <w:rPr>
                        <w:rFonts w:hint="eastAsia" w:ascii="仿宋_GB2312" w:hAnsi="仿宋_GB2312" w:eastAsia="仿宋_GB2312" w:cs="仿宋_GB2312"/>
                        <w:sz w:val="28"/>
                        <w:szCs w:val="28"/>
                        <w:lang w:eastAsia="zh-CN"/>
                      </w:rPr>
                      <w:fldChar w:fldCharType="separate"/>
                    </w:r>
                    <w:r>
                      <w:rPr>
                        <w:rFonts w:hint="eastAsia" w:ascii="仿宋_GB2312" w:hAnsi="仿宋_GB2312" w:eastAsia="仿宋_GB2312" w:cs="仿宋_GB2312"/>
                        <w:sz w:val="28"/>
                        <w:szCs w:val="28"/>
                        <w:lang w:eastAsia="zh-CN"/>
                      </w:rPr>
                      <w:t>2</w:t>
                    </w:r>
                    <w:r>
                      <w:rPr>
                        <w:rFonts w:hint="eastAsia" w:ascii="仿宋_GB2312" w:hAnsi="仿宋_GB2312" w:eastAsia="仿宋_GB2312" w:cs="仿宋_GB2312"/>
                        <w:sz w:val="28"/>
                        <w:szCs w:val="28"/>
                        <w:lang w:eastAsia="zh-CN"/>
                      </w:rPr>
                      <w:fldChar w:fldCharType="end"/>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t>—</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evenAndOddHeaders w:val="1"/>
  <w:drawingGridVerticalSpacing w:val="290"/>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IwM2ZhMDUwNDM4ZThkNDE0ZmRmNzA4ZTM1YTAyNTkifQ=="/>
  </w:docVars>
  <w:rsids>
    <w:rsidRoot w:val="00000000"/>
    <w:rsid w:val="00EA2870"/>
    <w:rsid w:val="010A29DC"/>
    <w:rsid w:val="0116312F"/>
    <w:rsid w:val="01675739"/>
    <w:rsid w:val="017460A8"/>
    <w:rsid w:val="01814321"/>
    <w:rsid w:val="01C81F50"/>
    <w:rsid w:val="02184C85"/>
    <w:rsid w:val="029A227C"/>
    <w:rsid w:val="02B32C00"/>
    <w:rsid w:val="02C32E43"/>
    <w:rsid w:val="02C80459"/>
    <w:rsid w:val="032633D2"/>
    <w:rsid w:val="032D558E"/>
    <w:rsid w:val="03EC0177"/>
    <w:rsid w:val="04020F3A"/>
    <w:rsid w:val="046E3AED"/>
    <w:rsid w:val="047649DE"/>
    <w:rsid w:val="04905AE2"/>
    <w:rsid w:val="049F5493"/>
    <w:rsid w:val="04DB41B7"/>
    <w:rsid w:val="04FA0ABB"/>
    <w:rsid w:val="05071679"/>
    <w:rsid w:val="050D4849"/>
    <w:rsid w:val="05172ADA"/>
    <w:rsid w:val="057F1FA1"/>
    <w:rsid w:val="065226F8"/>
    <w:rsid w:val="065344DE"/>
    <w:rsid w:val="06537C79"/>
    <w:rsid w:val="069B7776"/>
    <w:rsid w:val="06A70976"/>
    <w:rsid w:val="07197294"/>
    <w:rsid w:val="079C0106"/>
    <w:rsid w:val="07DE72F2"/>
    <w:rsid w:val="07EB1B28"/>
    <w:rsid w:val="07FE66CB"/>
    <w:rsid w:val="08385927"/>
    <w:rsid w:val="084F6F27"/>
    <w:rsid w:val="08506DBF"/>
    <w:rsid w:val="086C7AD9"/>
    <w:rsid w:val="086E1AA3"/>
    <w:rsid w:val="086E55FF"/>
    <w:rsid w:val="089E3668"/>
    <w:rsid w:val="09050F76"/>
    <w:rsid w:val="09526C5E"/>
    <w:rsid w:val="097561E4"/>
    <w:rsid w:val="09772BD9"/>
    <w:rsid w:val="09774987"/>
    <w:rsid w:val="09A514F4"/>
    <w:rsid w:val="09AD65FB"/>
    <w:rsid w:val="09EF451D"/>
    <w:rsid w:val="0A0A5AFD"/>
    <w:rsid w:val="0A80786B"/>
    <w:rsid w:val="0AF85654"/>
    <w:rsid w:val="0B7D7769"/>
    <w:rsid w:val="0B884C29"/>
    <w:rsid w:val="0BA70AE4"/>
    <w:rsid w:val="0C076B26"/>
    <w:rsid w:val="0C7747CF"/>
    <w:rsid w:val="0C8A677F"/>
    <w:rsid w:val="0D2C4183"/>
    <w:rsid w:val="0D47548D"/>
    <w:rsid w:val="0D51198F"/>
    <w:rsid w:val="0D5C698A"/>
    <w:rsid w:val="0D645222"/>
    <w:rsid w:val="0D984DF0"/>
    <w:rsid w:val="0DDC125D"/>
    <w:rsid w:val="0E0A2A81"/>
    <w:rsid w:val="0E1C5651"/>
    <w:rsid w:val="0E310642"/>
    <w:rsid w:val="0E3E2704"/>
    <w:rsid w:val="0E3E3CC5"/>
    <w:rsid w:val="0E96765D"/>
    <w:rsid w:val="0FF9223A"/>
    <w:rsid w:val="100E74D8"/>
    <w:rsid w:val="103436EA"/>
    <w:rsid w:val="10365EFF"/>
    <w:rsid w:val="107402E3"/>
    <w:rsid w:val="10B4201D"/>
    <w:rsid w:val="10C2298C"/>
    <w:rsid w:val="10D80401"/>
    <w:rsid w:val="110C362E"/>
    <w:rsid w:val="113D2012"/>
    <w:rsid w:val="114535BD"/>
    <w:rsid w:val="11891552"/>
    <w:rsid w:val="11A3481D"/>
    <w:rsid w:val="12045226"/>
    <w:rsid w:val="12413D84"/>
    <w:rsid w:val="124E024F"/>
    <w:rsid w:val="12646D4D"/>
    <w:rsid w:val="127001C5"/>
    <w:rsid w:val="12F17558"/>
    <w:rsid w:val="131E66E4"/>
    <w:rsid w:val="13286FC7"/>
    <w:rsid w:val="13767A5D"/>
    <w:rsid w:val="13C22CA3"/>
    <w:rsid w:val="147C2EFB"/>
    <w:rsid w:val="147F2942"/>
    <w:rsid w:val="148B578A"/>
    <w:rsid w:val="14904B4F"/>
    <w:rsid w:val="14922675"/>
    <w:rsid w:val="14990D37"/>
    <w:rsid w:val="14AD5701"/>
    <w:rsid w:val="14E270D9"/>
    <w:rsid w:val="15A84FA1"/>
    <w:rsid w:val="15B66837"/>
    <w:rsid w:val="15EC04AB"/>
    <w:rsid w:val="15F975FE"/>
    <w:rsid w:val="16077933"/>
    <w:rsid w:val="17345C65"/>
    <w:rsid w:val="1787048B"/>
    <w:rsid w:val="17B42A76"/>
    <w:rsid w:val="17BE0457"/>
    <w:rsid w:val="17EF6030"/>
    <w:rsid w:val="182E78A7"/>
    <w:rsid w:val="18316649"/>
    <w:rsid w:val="18365A0D"/>
    <w:rsid w:val="18893D8F"/>
    <w:rsid w:val="189E3CDE"/>
    <w:rsid w:val="18A230A3"/>
    <w:rsid w:val="18B2778A"/>
    <w:rsid w:val="18B76B4E"/>
    <w:rsid w:val="18D64BAD"/>
    <w:rsid w:val="18E45EC9"/>
    <w:rsid w:val="18E67433"/>
    <w:rsid w:val="191F46F3"/>
    <w:rsid w:val="198033E4"/>
    <w:rsid w:val="1A02204B"/>
    <w:rsid w:val="1B66485B"/>
    <w:rsid w:val="1BB72C90"/>
    <w:rsid w:val="1BFA6502"/>
    <w:rsid w:val="1C1D13BE"/>
    <w:rsid w:val="1C626DD1"/>
    <w:rsid w:val="1D116F6D"/>
    <w:rsid w:val="1D1265D3"/>
    <w:rsid w:val="1D81772B"/>
    <w:rsid w:val="1DA43419"/>
    <w:rsid w:val="1DE877AA"/>
    <w:rsid w:val="1DEA6A3C"/>
    <w:rsid w:val="1E107DB8"/>
    <w:rsid w:val="1E1F7ED7"/>
    <w:rsid w:val="1E2C3062"/>
    <w:rsid w:val="1E4C7D38"/>
    <w:rsid w:val="1E546D62"/>
    <w:rsid w:val="1E6037E4"/>
    <w:rsid w:val="1E6F78CD"/>
    <w:rsid w:val="1E807604"/>
    <w:rsid w:val="1EA444EE"/>
    <w:rsid w:val="1EDF0BAD"/>
    <w:rsid w:val="1F05061F"/>
    <w:rsid w:val="1F2F1379"/>
    <w:rsid w:val="1F956B52"/>
    <w:rsid w:val="1F980D5B"/>
    <w:rsid w:val="203B0065"/>
    <w:rsid w:val="204A3E24"/>
    <w:rsid w:val="20B361D9"/>
    <w:rsid w:val="20CC6F0F"/>
    <w:rsid w:val="20F94EDF"/>
    <w:rsid w:val="21294738"/>
    <w:rsid w:val="21380A48"/>
    <w:rsid w:val="21861987"/>
    <w:rsid w:val="219215C9"/>
    <w:rsid w:val="226E56BD"/>
    <w:rsid w:val="23662313"/>
    <w:rsid w:val="23677894"/>
    <w:rsid w:val="236C5D77"/>
    <w:rsid w:val="23737B15"/>
    <w:rsid w:val="237A47BD"/>
    <w:rsid w:val="23BA3996"/>
    <w:rsid w:val="24346EEF"/>
    <w:rsid w:val="24967F5F"/>
    <w:rsid w:val="24DF2AD3"/>
    <w:rsid w:val="254A0D4A"/>
    <w:rsid w:val="25593EFB"/>
    <w:rsid w:val="25AD78E2"/>
    <w:rsid w:val="25B86A69"/>
    <w:rsid w:val="25C4023E"/>
    <w:rsid w:val="25D56865"/>
    <w:rsid w:val="25EF47BE"/>
    <w:rsid w:val="25F86847"/>
    <w:rsid w:val="263C7EC3"/>
    <w:rsid w:val="2648423E"/>
    <w:rsid w:val="266029D9"/>
    <w:rsid w:val="27380AF0"/>
    <w:rsid w:val="27407A32"/>
    <w:rsid w:val="277216A4"/>
    <w:rsid w:val="278C7E6E"/>
    <w:rsid w:val="279E521A"/>
    <w:rsid w:val="27C951E5"/>
    <w:rsid w:val="27CC3C98"/>
    <w:rsid w:val="28103B85"/>
    <w:rsid w:val="289607B9"/>
    <w:rsid w:val="28C1211B"/>
    <w:rsid w:val="28D42E04"/>
    <w:rsid w:val="28F94BC3"/>
    <w:rsid w:val="29542197"/>
    <w:rsid w:val="29AC3D81"/>
    <w:rsid w:val="29FF7106"/>
    <w:rsid w:val="2A032077"/>
    <w:rsid w:val="2A21651D"/>
    <w:rsid w:val="2A4C32B3"/>
    <w:rsid w:val="2A703001"/>
    <w:rsid w:val="2A72157E"/>
    <w:rsid w:val="2A7D4F0F"/>
    <w:rsid w:val="2ACD3FAF"/>
    <w:rsid w:val="2AD72DD7"/>
    <w:rsid w:val="2AFB08AA"/>
    <w:rsid w:val="2B247C7A"/>
    <w:rsid w:val="2B25203D"/>
    <w:rsid w:val="2B2C517A"/>
    <w:rsid w:val="2BAA03E1"/>
    <w:rsid w:val="2BAE3DE1"/>
    <w:rsid w:val="2BF025DB"/>
    <w:rsid w:val="2C6B7B8F"/>
    <w:rsid w:val="2C8114F5"/>
    <w:rsid w:val="2CEF7D0D"/>
    <w:rsid w:val="2D404F0C"/>
    <w:rsid w:val="2D72381D"/>
    <w:rsid w:val="2D96292F"/>
    <w:rsid w:val="2E3D58F0"/>
    <w:rsid w:val="2E3E188E"/>
    <w:rsid w:val="2E5C3FC8"/>
    <w:rsid w:val="2E8A3CA1"/>
    <w:rsid w:val="2E9F09A2"/>
    <w:rsid w:val="2EA74B17"/>
    <w:rsid w:val="2ECD6A5C"/>
    <w:rsid w:val="2F713392"/>
    <w:rsid w:val="2F745AFB"/>
    <w:rsid w:val="2F8329E4"/>
    <w:rsid w:val="2F86705C"/>
    <w:rsid w:val="2FFA2239"/>
    <w:rsid w:val="3086532C"/>
    <w:rsid w:val="30913CD1"/>
    <w:rsid w:val="30B17CBC"/>
    <w:rsid w:val="30EC6B12"/>
    <w:rsid w:val="310D7FCE"/>
    <w:rsid w:val="31C53C32"/>
    <w:rsid w:val="31D200FD"/>
    <w:rsid w:val="31D37177"/>
    <w:rsid w:val="32333292"/>
    <w:rsid w:val="323B2146"/>
    <w:rsid w:val="328A023A"/>
    <w:rsid w:val="32B0316F"/>
    <w:rsid w:val="3321133C"/>
    <w:rsid w:val="33C2512E"/>
    <w:rsid w:val="3401451A"/>
    <w:rsid w:val="34023421"/>
    <w:rsid w:val="34730F05"/>
    <w:rsid w:val="352E7D40"/>
    <w:rsid w:val="35941D23"/>
    <w:rsid w:val="35A02A5F"/>
    <w:rsid w:val="36032F7B"/>
    <w:rsid w:val="362C0724"/>
    <w:rsid w:val="368B7AB6"/>
    <w:rsid w:val="369B0264"/>
    <w:rsid w:val="36BF5E38"/>
    <w:rsid w:val="3715740A"/>
    <w:rsid w:val="371E24DB"/>
    <w:rsid w:val="37797999"/>
    <w:rsid w:val="37F21C57"/>
    <w:rsid w:val="38376F0C"/>
    <w:rsid w:val="38833B34"/>
    <w:rsid w:val="38AA6D75"/>
    <w:rsid w:val="38DC6EDE"/>
    <w:rsid w:val="38F60B75"/>
    <w:rsid w:val="395F2296"/>
    <w:rsid w:val="396A4C59"/>
    <w:rsid w:val="396C7089"/>
    <w:rsid w:val="397D3044"/>
    <w:rsid w:val="399C171C"/>
    <w:rsid w:val="39D147D8"/>
    <w:rsid w:val="39D92970"/>
    <w:rsid w:val="39F315FF"/>
    <w:rsid w:val="39F3612F"/>
    <w:rsid w:val="39FF1CAB"/>
    <w:rsid w:val="3A233BEC"/>
    <w:rsid w:val="3A4243B1"/>
    <w:rsid w:val="3A483652"/>
    <w:rsid w:val="3A916DA7"/>
    <w:rsid w:val="3ACD1DA9"/>
    <w:rsid w:val="3AD43138"/>
    <w:rsid w:val="3AE90B6B"/>
    <w:rsid w:val="3B2E54A0"/>
    <w:rsid w:val="3B5878C5"/>
    <w:rsid w:val="3B7C7A57"/>
    <w:rsid w:val="3B7FE883"/>
    <w:rsid w:val="3BBB7067"/>
    <w:rsid w:val="3BD437A0"/>
    <w:rsid w:val="3C4340D1"/>
    <w:rsid w:val="3CBD4AAC"/>
    <w:rsid w:val="3CD411CD"/>
    <w:rsid w:val="3CDC62D4"/>
    <w:rsid w:val="3D1125C6"/>
    <w:rsid w:val="3D167A38"/>
    <w:rsid w:val="3D1E069A"/>
    <w:rsid w:val="3D93547D"/>
    <w:rsid w:val="3ED90D1D"/>
    <w:rsid w:val="3F087854"/>
    <w:rsid w:val="3F626917"/>
    <w:rsid w:val="3F8E7D59"/>
    <w:rsid w:val="3FA806EF"/>
    <w:rsid w:val="3FBD3F9C"/>
    <w:rsid w:val="40324B88"/>
    <w:rsid w:val="403A1C8F"/>
    <w:rsid w:val="4125649B"/>
    <w:rsid w:val="412E19BE"/>
    <w:rsid w:val="4151103E"/>
    <w:rsid w:val="418F7DB9"/>
    <w:rsid w:val="419D24D5"/>
    <w:rsid w:val="41B11ADD"/>
    <w:rsid w:val="41B617E9"/>
    <w:rsid w:val="41E0250A"/>
    <w:rsid w:val="41EF2605"/>
    <w:rsid w:val="42293D69"/>
    <w:rsid w:val="424F7F21"/>
    <w:rsid w:val="4250579A"/>
    <w:rsid w:val="42BA0E65"/>
    <w:rsid w:val="436037BB"/>
    <w:rsid w:val="43881B76"/>
    <w:rsid w:val="43CA50D8"/>
    <w:rsid w:val="44110F59"/>
    <w:rsid w:val="445D0158"/>
    <w:rsid w:val="449570BC"/>
    <w:rsid w:val="44A122DD"/>
    <w:rsid w:val="44BA6EFA"/>
    <w:rsid w:val="457C0654"/>
    <w:rsid w:val="45CF3CF1"/>
    <w:rsid w:val="45F20916"/>
    <w:rsid w:val="46531468"/>
    <w:rsid w:val="465432B9"/>
    <w:rsid w:val="46B33FF7"/>
    <w:rsid w:val="472F1E22"/>
    <w:rsid w:val="47411B55"/>
    <w:rsid w:val="47590C4D"/>
    <w:rsid w:val="48084421"/>
    <w:rsid w:val="484A4A39"/>
    <w:rsid w:val="48517B76"/>
    <w:rsid w:val="48AA4D31"/>
    <w:rsid w:val="48CE3090"/>
    <w:rsid w:val="4900334A"/>
    <w:rsid w:val="49081183"/>
    <w:rsid w:val="491A26E6"/>
    <w:rsid w:val="49276B29"/>
    <w:rsid w:val="49334281"/>
    <w:rsid w:val="499B4DDE"/>
    <w:rsid w:val="49BF4FB3"/>
    <w:rsid w:val="49D56585"/>
    <w:rsid w:val="4A9B75E5"/>
    <w:rsid w:val="4AAA3C2C"/>
    <w:rsid w:val="4ABA40F8"/>
    <w:rsid w:val="4B751DCD"/>
    <w:rsid w:val="4B7971A0"/>
    <w:rsid w:val="4BA97CC9"/>
    <w:rsid w:val="4BD765E4"/>
    <w:rsid w:val="4C60482B"/>
    <w:rsid w:val="4D565C2E"/>
    <w:rsid w:val="4D8D78A2"/>
    <w:rsid w:val="4DCF28B2"/>
    <w:rsid w:val="4DEC2DFE"/>
    <w:rsid w:val="4DF22E29"/>
    <w:rsid w:val="4DFE42FC"/>
    <w:rsid w:val="4E52343E"/>
    <w:rsid w:val="4F0911AA"/>
    <w:rsid w:val="4F3D2C02"/>
    <w:rsid w:val="4FB4470C"/>
    <w:rsid w:val="501047BA"/>
    <w:rsid w:val="503E6C32"/>
    <w:rsid w:val="50574197"/>
    <w:rsid w:val="506B19F1"/>
    <w:rsid w:val="509A3AE0"/>
    <w:rsid w:val="50DA1D79"/>
    <w:rsid w:val="51946FF5"/>
    <w:rsid w:val="51B74A13"/>
    <w:rsid w:val="51CA4D98"/>
    <w:rsid w:val="51DD691E"/>
    <w:rsid w:val="51ED4DB3"/>
    <w:rsid w:val="526D7CA2"/>
    <w:rsid w:val="529812BF"/>
    <w:rsid w:val="53035F10"/>
    <w:rsid w:val="53656BCB"/>
    <w:rsid w:val="53764934"/>
    <w:rsid w:val="538C0AF4"/>
    <w:rsid w:val="53A25810"/>
    <w:rsid w:val="53EC4BF7"/>
    <w:rsid w:val="546A58C5"/>
    <w:rsid w:val="54D01777"/>
    <w:rsid w:val="559144C5"/>
    <w:rsid w:val="55A97477"/>
    <w:rsid w:val="55DD6EED"/>
    <w:rsid w:val="56B539C6"/>
    <w:rsid w:val="578A6C00"/>
    <w:rsid w:val="57905034"/>
    <w:rsid w:val="57F40862"/>
    <w:rsid w:val="57F624E8"/>
    <w:rsid w:val="58056EA2"/>
    <w:rsid w:val="580B6F57"/>
    <w:rsid w:val="583C439E"/>
    <w:rsid w:val="58584F50"/>
    <w:rsid w:val="58604D4E"/>
    <w:rsid w:val="58A678B0"/>
    <w:rsid w:val="58B33F35"/>
    <w:rsid w:val="58C83E84"/>
    <w:rsid w:val="59376914"/>
    <w:rsid w:val="598C74CC"/>
    <w:rsid w:val="59C6764A"/>
    <w:rsid w:val="59CD1EEC"/>
    <w:rsid w:val="5A380B96"/>
    <w:rsid w:val="5A471069"/>
    <w:rsid w:val="5A64198B"/>
    <w:rsid w:val="5A7D2A4C"/>
    <w:rsid w:val="5AEE394A"/>
    <w:rsid w:val="5B0F63A4"/>
    <w:rsid w:val="5B3D0710"/>
    <w:rsid w:val="5B452F0E"/>
    <w:rsid w:val="5B650361"/>
    <w:rsid w:val="5C4C0928"/>
    <w:rsid w:val="5C5628C9"/>
    <w:rsid w:val="5CBD63E7"/>
    <w:rsid w:val="5D4F7E3E"/>
    <w:rsid w:val="5D5639A6"/>
    <w:rsid w:val="5D8317FC"/>
    <w:rsid w:val="5D964551"/>
    <w:rsid w:val="5E4F046E"/>
    <w:rsid w:val="5E7B3747"/>
    <w:rsid w:val="5E9D546B"/>
    <w:rsid w:val="5EA43094"/>
    <w:rsid w:val="5F0674B4"/>
    <w:rsid w:val="5FA1544D"/>
    <w:rsid w:val="5FD749AD"/>
    <w:rsid w:val="605C4EB2"/>
    <w:rsid w:val="606F2E37"/>
    <w:rsid w:val="60803296"/>
    <w:rsid w:val="611759A9"/>
    <w:rsid w:val="613042E5"/>
    <w:rsid w:val="616933B6"/>
    <w:rsid w:val="617C580C"/>
    <w:rsid w:val="62075B2E"/>
    <w:rsid w:val="621D05FD"/>
    <w:rsid w:val="62D17BD9"/>
    <w:rsid w:val="63022731"/>
    <w:rsid w:val="630E17D1"/>
    <w:rsid w:val="63AB3CC0"/>
    <w:rsid w:val="63AF2D3A"/>
    <w:rsid w:val="63B53257"/>
    <w:rsid w:val="63D60521"/>
    <w:rsid w:val="6472739A"/>
    <w:rsid w:val="65183A9D"/>
    <w:rsid w:val="652C7549"/>
    <w:rsid w:val="65444892"/>
    <w:rsid w:val="65784524"/>
    <w:rsid w:val="65B25723"/>
    <w:rsid w:val="65F056C5"/>
    <w:rsid w:val="660A79D6"/>
    <w:rsid w:val="663F14FE"/>
    <w:rsid w:val="665F56FC"/>
    <w:rsid w:val="666C219C"/>
    <w:rsid w:val="66A500C1"/>
    <w:rsid w:val="66B612EF"/>
    <w:rsid w:val="670544F5"/>
    <w:rsid w:val="671132A7"/>
    <w:rsid w:val="67280181"/>
    <w:rsid w:val="678673DE"/>
    <w:rsid w:val="67CF205A"/>
    <w:rsid w:val="67E4410B"/>
    <w:rsid w:val="682A2D6A"/>
    <w:rsid w:val="68D15B28"/>
    <w:rsid w:val="68D4417F"/>
    <w:rsid w:val="6906612F"/>
    <w:rsid w:val="694E3F32"/>
    <w:rsid w:val="69D73AC6"/>
    <w:rsid w:val="6A022F6E"/>
    <w:rsid w:val="6A0E7312"/>
    <w:rsid w:val="6A333127"/>
    <w:rsid w:val="6A3C6480"/>
    <w:rsid w:val="6A4D41E9"/>
    <w:rsid w:val="6B8E4AB9"/>
    <w:rsid w:val="6C3115FC"/>
    <w:rsid w:val="6C7F08A6"/>
    <w:rsid w:val="6C9C0BE6"/>
    <w:rsid w:val="6D301BA0"/>
    <w:rsid w:val="6DDB1B0C"/>
    <w:rsid w:val="6EA12D56"/>
    <w:rsid w:val="6EBE56B6"/>
    <w:rsid w:val="6EE40E94"/>
    <w:rsid w:val="6F5577A1"/>
    <w:rsid w:val="6F8A1C78"/>
    <w:rsid w:val="6FCA380D"/>
    <w:rsid w:val="705A140E"/>
    <w:rsid w:val="707E2172"/>
    <w:rsid w:val="70837BD9"/>
    <w:rsid w:val="70B92E01"/>
    <w:rsid w:val="70C00187"/>
    <w:rsid w:val="70D016D0"/>
    <w:rsid w:val="70E60EF4"/>
    <w:rsid w:val="70F02EEE"/>
    <w:rsid w:val="70FD6679"/>
    <w:rsid w:val="711C6EC9"/>
    <w:rsid w:val="713E11C5"/>
    <w:rsid w:val="7205184D"/>
    <w:rsid w:val="72084E9A"/>
    <w:rsid w:val="729E3D2D"/>
    <w:rsid w:val="72AE5A41"/>
    <w:rsid w:val="72B017B9"/>
    <w:rsid w:val="72B33057"/>
    <w:rsid w:val="72E74AAF"/>
    <w:rsid w:val="730E64E0"/>
    <w:rsid w:val="73A750C7"/>
    <w:rsid w:val="73CA0659"/>
    <w:rsid w:val="73F676A0"/>
    <w:rsid w:val="741260BA"/>
    <w:rsid w:val="74AD5C18"/>
    <w:rsid w:val="74B60BDD"/>
    <w:rsid w:val="74BB2BCB"/>
    <w:rsid w:val="74D07EF1"/>
    <w:rsid w:val="75456D6A"/>
    <w:rsid w:val="754D2DBE"/>
    <w:rsid w:val="75956A44"/>
    <w:rsid w:val="76021328"/>
    <w:rsid w:val="764364A0"/>
    <w:rsid w:val="76593F16"/>
    <w:rsid w:val="76B05341"/>
    <w:rsid w:val="76B63116"/>
    <w:rsid w:val="76BA0E58"/>
    <w:rsid w:val="76CA6BC2"/>
    <w:rsid w:val="76DB1EA9"/>
    <w:rsid w:val="771F59FE"/>
    <w:rsid w:val="779E7E35"/>
    <w:rsid w:val="77FF2CAC"/>
    <w:rsid w:val="787D650E"/>
    <w:rsid w:val="78BC11C8"/>
    <w:rsid w:val="78E026CC"/>
    <w:rsid w:val="78EF3C17"/>
    <w:rsid w:val="792D64F4"/>
    <w:rsid w:val="79986304"/>
    <w:rsid w:val="79AE505A"/>
    <w:rsid w:val="79E509D2"/>
    <w:rsid w:val="7A1E34AC"/>
    <w:rsid w:val="7A8C2B0C"/>
    <w:rsid w:val="7A907630"/>
    <w:rsid w:val="7AB61B8E"/>
    <w:rsid w:val="7AD324E9"/>
    <w:rsid w:val="7ADA16EC"/>
    <w:rsid w:val="7AF34B32"/>
    <w:rsid w:val="7B234AF2"/>
    <w:rsid w:val="7B354F51"/>
    <w:rsid w:val="7B494559"/>
    <w:rsid w:val="7B597E63"/>
    <w:rsid w:val="7B6A44CF"/>
    <w:rsid w:val="7BD61B65"/>
    <w:rsid w:val="7BEA202C"/>
    <w:rsid w:val="7C2B47BF"/>
    <w:rsid w:val="7C39281F"/>
    <w:rsid w:val="7C4C4504"/>
    <w:rsid w:val="7C6E3CE5"/>
    <w:rsid w:val="7C8E608F"/>
    <w:rsid w:val="7CC60365"/>
    <w:rsid w:val="7CCE160F"/>
    <w:rsid w:val="7D4E22FA"/>
    <w:rsid w:val="7D8678FA"/>
    <w:rsid w:val="7DF74740"/>
    <w:rsid w:val="7E84515B"/>
    <w:rsid w:val="7E9142D6"/>
    <w:rsid w:val="7E9C7095"/>
    <w:rsid w:val="7EB919F5"/>
    <w:rsid w:val="7EBA34D5"/>
    <w:rsid w:val="7EF667A6"/>
    <w:rsid w:val="7EF85042"/>
    <w:rsid w:val="7EFFCB98"/>
    <w:rsid w:val="7F1F594E"/>
    <w:rsid w:val="7F482D79"/>
    <w:rsid w:val="7F886024"/>
    <w:rsid w:val="7F8E4C30"/>
    <w:rsid w:val="7FB64187"/>
    <w:rsid w:val="7FE0122D"/>
    <w:rsid w:val="AFFF51F2"/>
    <w:rsid w:val="BAFB4F41"/>
    <w:rsid w:val="BFBF1A66"/>
    <w:rsid w:val="E7ED8A08"/>
    <w:rsid w:val="F6E9DD65"/>
    <w:rsid w:val="F9E6B664"/>
    <w:rsid w:val="FB3E8A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character" w:styleId="8">
    <w:name w:val="page number"/>
    <w:basedOn w:val="6"/>
    <w:qFormat/>
    <w:uiPriority w:val="0"/>
  </w:style>
  <w:style w:type="character" w:styleId="9">
    <w:name w:val="Hyperlink"/>
    <w:basedOn w:val="6"/>
    <w:qFormat/>
    <w:uiPriority w:val="0"/>
    <w:rPr>
      <w:color w:val="0000FF"/>
      <w:u w:val="single"/>
    </w:rPr>
  </w:style>
  <w:style w:type="paragraph" w:customStyle="1" w:styleId="10">
    <w:name w:val="TOC1"/>
    <w:basedOn w:val="1"/>
    <w:next w:val="1"/>
    <w:semiHidden/>
    <w:qFormat/>
    <w:uiPriority w:val="99"/>
    <w:pPr>
      <w:snapToGrid w:val="0"/>
      <w:spacing w:line="640" w:lineRule="exact"/>
      <w:ind w:firstLine="705"/>
    </w:pPr>
    <w:rPr>
      <w:rFonts w:ascii="宋体" w:cs="仿宋_GB2312"/>
      <w:color w:val="000000"/>
      <w:szCs w:val="36"/>
    </w:rPr>
  </w:style>
  <w:style w:type="character" w:customStyle="1" w:styleId="11">
    <w:name w:val="not([class*=suffix])"/>
    <w:basedOn w:val="6"/>
    <w:qFormat/>
    <w:uiPriority w:val="0"/>
  </w:style>
  <w:style w:type="character" w:customStyle="1" w:styleId="12">
    <w:name w:val="not([class*=suffix])1"/>
    <w:basedOn w:val="6"/>
    <w:qFormat/>
    <w:uiPriority w:val="0"/>
    <w:rPr>
      <w:sz w:val="19"/>
      <w:szCs w:val="19"/>
    </w:rPr>
  </w:style>
  <w:style w:type="character" w:customStyle="1" w:styleId="13">
    <w:name w:val="txt"/>
    <w:basedOn w:val="6"/>
    <w:qFormat/>
    <w:uiPriority w:val="0"/>
    <w:rPr>
      <w:rFonts w:ascii="PingFangSC" w:hAnsi="PingFangSC" w:eastAsia="PingFangSC" w:cs="PingFangSC"/>
      <w:color w:val="F44336"/>
      <w:sz w:val="15"/>
      <w:szCs w:val="15"/>
      <w:shd w:val="clear" w:fill="FFFFFF"/>
    </w:rPr>
  </w:style>
  <w:style w:type="character" w:customStyle="1" w:styleId="14">
    <w:name w:val="aft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2743</Words>
  <Characters>2780</Characters>
  <Lines>0</Lines>
  <Paragraphs>0</Paragraphs>
  <TotalTime>2</TotalTime>
  <ScaleCrop>false</ScaleCrop>
  <LinksUpToDate>false</LinksUpToDate>
  <CharactersWithSpaces>2817</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2022-06-10T07:25:00Z</dcterms:created>
  <dc:creator>Administrator</dc:creator>
  <cp:lastModifiedBy>刘飞</cp:lastModifiedBy>
  <cp:lastPrinted>2022-09-19T22:23:00Z</cp:lastPrinted>
  <dcterms:modified xsi:type="dcterms:W3CDTF">2022-11-17T05:36:19Z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D2FBBFCDF639449C99EE4F8A9B9DB33B</vt:lpwstr>
  </property>
</Properties>
</file>