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0" w:leftChars="0" w:right="0" w:rightChars="0" w:firstLine="0" w:firstLineChars="0"/>
        <w:jc w:val="center"/>
        <w:textAlignment w:val="baseline"/>
        <w:rPr>
          <w:rFonts w:hint="eastAsia" w:ascii="方正小标宋简体" w:hAnsi="方正小标宋简体" w:eastAsia="方正小标宋简体" w:cs="方正小标宋简体"/>
          <w:color w:val="auto"/>
          <w:spacing w:val="3"/>
          <w:sz w:val="44"/>
          <w:szCs w:val="44"/>
          <w:highlight w:val="none"/>
          <w:u w:val="none"/>
          <w:lang w:eastAsia="zh-CN"/>
        </w:rPr>
      </w:pP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0" w:leftChars="0" w:right="0" w:rightChars="0" w:firstLine="0" w:firstLineChars="0"/>
        <w:jc w:val="center"/>
        <w:textAlignment w:val="baseline"/>
        <w:rPr>
          <w:rFonts w:hint="eastAsia" w:ascii="方正小标宋简体" w:hAnsi="方正小标宋简体" w:eastAsia="方正小标宋简体" w:cs="方正小标宋简体"/>
          <w:color w:val="auto"/>
          <w:spacing w:val="3"/>
          <w:sz w:val="44"/>
          <w:szCs w:val="44"/>
          <w:highlight w:val="none"/>
          <w:u w:val="none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pacing w:val="3"/>
          <w:sz w:val="44"/>
          <w:szCs w:val="44"/>
          <w:highlight w:val="none"/>
          <w:u w:val="none"/>
          <w:lang w:eastAsia="zh-CN"/>
        </w:rPr>
        <w:t>威海市</w:t>
      </w:r>
      <w:r>
        <w:rPr>
          <w:rFonts w:hint="eastAsia" w:ascii="方正小标宋简体" w:hAnsi="方正小标宋简体" w:eastAsia="方正小标宋简体" w:cs="方正小标宋简体"/>
          <w:color w:val="auto"/>
          <w:spacing w:val="3"/>
          <w:sz w:val="44"/>
          <w:szCs w:val="44"/>
          <w:highlight w:val="none"/>
          <w:u w:val="none"/>
        </w:rPr>
        <w:t>支持技工教育高质量特色</w:t>
      </w:r>
      <w:r>
        <w:rPr>
          <w:rFonts w:hint="eastAsia" w:ascii="方正小标宋简体" w:hAnsi="方正小标宋简体" w:eastAsia="方正小标宋简体" w:cs="方正小标宋简体"/>
          <w:color w:val="auto"/>
          <w:spacing w:val="3"/>
          <w:sz w:val="44"/>
          <w:szCs w:val="44"/>
          <w:highlight w:val="none"/>
          <w:u w:val="none"/>
          <w:lang w:eastAsia="zh-CN"/>
        </w:rPr>
        <w:t>发</w:t>
      </w:r>
      <w:r>
        <w:rPr>
          <w:rFonts w:hint="eastAsia" w:ascii="方正小标宋简体" w:hAnsi="方正小标宋简体" w:eastAsia="方正小标宋简体" w:cs="方正小标宋简体"/>
          <w:color w:val="auto"/>
          <w:spacing w:val="3"/>
          <w:sz w:val="44"/>
          <w:szCs w:val="44"/>
          <w:highlight w:val="none"/>
          <w:u w:val="none"/>
        </w:rPr>
        <w:t>展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0" w:leftChars="0" w:right="0" w:rightChars="0" w:firstLine="0" w:firstLineChars="0"/>
        <w:jc w:val="center"/>
        <w:textAlignment w:val="baseline"/>
        <w:rPr>
          <w:rFonts w:hint="eastAsia" w:ascii="方正小标宋简体" w:hAnsi="方正小标宋简体" w:eastAsia="方正小标宋简体" w:cs="方正小标宋简体"/>
          <w:color w:val="auto"/>
          <w:spacing w:val="3"/>
          <w:sz w:val="44"/>
          <w:szCs w:val="44"/>
          <w:highlight w:val="none"/>
          <w:u w:val="none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pacing w:val="3"/>
          <w:sz w:val="44"/>
          <w:szCs w:val="44"/>
          <w:highlight w:val="none"/>
          <w:u w:val="none"/>
        </w:rPr>
        <w:t>若干措施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right="0" w:firstLine="640" w:firstLineChars="200"/>
        <w:jc w:val="both"/>
        <w:textAlignment w:val="baseline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</w:rPr>
      </w:pP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right="0" w:firstLine="652" w:firstLineChars="200"/>
        <w:jc w:val="both"/>
        <w:textAlignment w:val="baseline"/>
        <w:rPr>
          <w:rFonts w:hint="eastAsia" w:ascii="仿宋_GB2312" w:hAnsi="仿宋_GB2312" w:eastAsia="仿宋_GB2312" w:cs="仿宋_GB2312"/>
          <w:color w:val="auto"/>
          <w:spacing w:val="3"/>
          <w:sz w:val="32"/>
          <w:szCs w:val="32"/>
          <w:highlight w:val="none"/>
          <w:u w:val="none"/>
        </w:rPr>
      </w:pPr>
      <w:r>
        <w:rPr>
          <w:rFonts w:hint="eastAsia" w:ascii="仿宋_GB2312" w:hAnsi="仿宋_GB2312" w:eastAsia="仿宋_GB2312" w:cs="仿宋_GB2312"/>
          <w:color w:val="auto"/>
          <w:spacing w:val="3"/>
          <w:sz w:val="32"/>
          <w:szCs w:val="32"/>
          <w:highlight w:val="none"/>
          <w:u w:val="none"/>
          <w:lang w:val="en-US" w:eastAsia="zh-CN"/>
        </w:rPr>
        <w:t>为深入贯彻党的二十大及二十届二中、三中全会精神，全面落实省委、省政府关于技工教育发展的决策部署，根据《山东省支持技工教育高质量特色发展若干措施》工作要求，结合我市产业发展和技能人才队伍建设需要，现就深化我市技工教育改革，提升技工院校办学水平和服务能力，制定如下政策措施。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right="0" w:firstLine="652" w:firstLineChars="200"/>
        <w:jc w:val="both"/>
        <w:textAlignment w:val="baseline"/>
        <w:rPr>
          <w:rFonts w:hint="eastAsia" w:ascii="黑体" w:hAnsi="黑体" w:eastAsia="黑体" w:cs="黑体"/>
          <w:color w:val="auto"/>
          <w:spacing w:val="3"/>
          <w:sz w:val="32"/>
          <w:szCs w:val="32"/>
          <w:highlight w:val="none"/>
          <w:u w:val="none"/>
          <w:lang w:val="en-US" w:eastAsia="zh-CN"/>
        </w:rPr>
      </w:pPr>
      <w:r>
        <w:rPr>
          <w:rFonts w:hint="eastAsia" w:ascii="黑体" w:hAnsi="黑体" w:eastAsia="黑体" w:cs="黑体"/>
          <w:color w:val="auto"/>
          <w:spacing w:val="3"/>
          <w:sz w:val="32"/>
          <w:szCs w:val="32"/>
          <w:highlight w:val="none"/>
          <w:u w:val="none"/>
          <w:lang w:val="en-US" w:eastAsia="zh-CN"/>
        </w:rPr>
        <w:t>一、培育一流产业技术工人队伍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right="0" w:firstLine="652" w:firstLineChars="200"/>
        <w:jc w:val="both"/>
        <w:textAlignment w:val="baseline"/>
        <w:rPr>
          <w:rFonts w:hint="eastAsia" w:ascii="仿宋_GB2312" w:hAnsi="仿宋_GB2312" w:eastAsia="仿宋_GB2312" w:cs="仿宋_GB2312"/>
          <w:color w:val="auto"/>
          <w:spacing w:val="3"/>
          <w:sz w:val="32"/>
          <w:szCs w:val="32"/>
          <w:highlight w:val="none"/>
          <w:u w:val="none"/>
          <w:lang w:val="en-US" w:eastAsia="zh-CN"/>
        </w:rPr>
      </w:pPr>
      <w:r>
        <w:rPr>
          <w:rFonts w:hint="eastAsia" w:ascii="楷体_GB2312" w:hAnsi="楷体_GB2312" w:eastAsia="楷体_GB2312" w:cs="楷体_GB2312"/>
          <w:color w:val="auto"/>
          <w:spacing w:val="3"/>
          <w:sz w:val="32"/>
          <w:szCs w:val="32"/>
          <w:highlight w:val="none"/>
          <w:u w:val="none"/>
          <w:lang w:val="en-US" w:eastAsia="zh-CN"/>
        </w:rPr>
        <w:t>（一）坚守技工教育办学定位。</w:t>
      </w:r>
      <w:r>
        <w:rPr>
          <w:rFonts w:hint="eastAsia" w:ascii="仿宋_GB2312" w:hAnsi="仿宋_GB2312" w:eastAsia="仿宋_GB2312" w:cs="仿宋_GB2312"/>
          <w:color w:val="auto"/>
          <w:spacing w:val="3"/>
          <w:sz w:val="32"/>
          <w:szCs w:val="32"/>
          <w:highlight w:val="none"/>
          <w:u w:val="none"/>
          <w:lang w:val="en-US" w:eastAsia="zh-CN"/>
        </w:rPr>
        <w:t>保持技工教育人才培养特色，坚持以培养技术工人和技能人才为目标，将技工教育发展成为服务技能人才成长的重要平台、中国特色现代职业教育体系的重要组成、推进技能型社会建设的重要载体。持续激发技工教育创新活力，实现规模化、专业化、数字化、高端化的产业技术工人和技能人才培养。（责任单位：市人力资源社会保障局）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right="0" w:firstLine="652" w:firstLineChars="200"/>
        <w:jc w:val="both"/>
        <w:textAlignment w:val="baseline"/>
        <w:rPr>
          <w:rFonts w:hint="eastAsia" w:ascii="仿宋_GB2312" w:hAnsi="仿宋_GB2312" w:eastAsia="仿宋_GB2312" w:cs="仿宋_GB2312"/>
          <w:color w:val="auto"/>
          <w:spacing w:val="3"/>
          <w:sz w:val="32"/>
          <w:szCs w:val="32"/>
          <w:highlight w:val="none"/>
          <w:u w:val="none"/>
          <w:lang w:val="en-US" w:eastAsia="zh-CN"/>
        </w:rPr>
      </w:pPr>
      <w:r>
        <w:rPr>
          <w:rFonts w:hint="eastAsia" w:ascii="楷体_GB2312" w:hAnsi="楷体_GB2312" w:eastAsia="楷体_GB2312" w:cs="楷体_GB2312"/>
          <w:color w:val="auto"/>
          <w:spacing w:val="3"/>
          <w:sz w:val="32"/>
          <w:szCs w:val="32"/>
          <w:highlight w:val="none"/>
          <w:u w:val="none"/>
          <w:lang w:val="en-US" w:eastAsia="zh-CN"/>
        </w:rPr>
        <w:t>（二）优化技工教育供给结构。</w:t>
      </w:r>
      <w:r>
        <w:rPr>
          <w:rFonts w:eastAsia="仿宋_GB2312"/>
          <w:color w:val="auto"/>
          <w:sz w:val="32"/>
          <w:szCs w:val="32"/>
          <w:highlight w:val="none"/>
          <w:u w:val="none"/>
          <w:shd w:val="clear" w:color="auto" w:fill="FFFFFF"/>
        </w:rPr>
        <w:t>围绕服务威海市产业发展需求</w:t>
      </w:r>
      <w:r>
        <w:rPr>
          <w:rFonts w:hint="eastAsia" w:ascii="仿宋_GB2312" w:hAnsi="仿宋_GB2312" w:eastAsia="仿宋_GB2312" w:cs="仿宋_GB2312"/>
          <w:color w:val="auto"/>
          <w:spacing w:val="3"/>
          <w:sz w:val="32"/>
          <w:szCs w:val="32"/>
          <w:highlight w:val="none"/>
          <w:u w:val="none"/>
          <w:lang w:val="en-US" w:eastAsia="zh-CN"/>
        </w:rPr>
        <w:t>，研究分析产业结构变化与产业工人需求状况，适度超前进行专业布局，鼓励</w:t>
      </w:r>
      <w:r>
        <w:rPr>
          <w:rFonts w:hint="eastAsia" w:eastAsia="仿宋_GB2312"/>
          <w:color w:val="auto"/>
          <w:sz w:val="32"/>
          <w:szCs w:val="32"/>
          <w:highlight w:val="none"/>
          <w:u w:val="none"/>
          <w:shd w:val="clear" w:color="auto" w:fill="FFFFFF"/>
        </w:rPr>
        <w:t>开发建设</w:t>
      </w:r>
      <w:r>
        <w:rPr>
          <w:rFonts w:eastAsia="仿宋_GB2312"/>
          <w:color w:val="auto"/>
          <w:sz w:val="32"/>
          <w:szCs w:val="32"/>
          <w:highlight w:val="none"/>
          <w:u w:val="none"/>
          <w:shd w:val="clear" w:color="auto" w:fill="FFFFFF"/>
        </w:rPr>
        <w:t>医疗器械、</w:t>
      </w:r>
      <w:r>
        <w:rPr>
          <w:rFonts w:hint="eastAsia" w:eastAsia="仿宋_GB2312"/>
          <w:color w:val="auto"/>
          <w:sz w:val="32"/>
          <w:szCs w:val="32"/>
          <w:highlight w:val="none"/>
          <w:u w:val="none"/>
          <w:shd w:val="clear" w:color="auto" w:fill="FFFFFF"/>
        </w:rPr>
        <w:t>新能源汽车、</w:t>
      </w:r>
      <w:r>
        <w:rPr>
          <w:rFonts w:eastAsia="仿宋_GB2312"/>
          <w:color w:val="auto"/>
          <w:sz w:val="32"/>
          <w:szCs w:val="32"/>
          <w:highlight w:val="none"/>
          <w:u w:val="none"/>
          <w:shd w:val="clear" w:color="auto" w:fill="FFFFFF"/>
        </w:rPr>
        <w:t>低空经济、</w:t>
      </w:r>
      <w:r>
        <w:rPr>
          <w:rFonts w:hint="eastAsia" w:eastAsia="仿宋_GB2312"/>
          <w:color w:val="auto"/>
          <w:sz w:val="32"/>
          <w:szCs w:val="32"/>
          <w:highlight w:val="none"/>
          <w:u w:val="none"/>
          <w:shd w:val="clear" w:color="auto" w:fill="FFFFFF"/>
        </w:rPr>
        <w:t>康养托育</w:t>
      </w:r>
      <w:r>
        <w:rPr>
          <w:rFonts w:eastAsia="仿宋_GB2312"/>
          <w:color w:val="auto"/>
          <w:sz w:val="32"/>
          <w:szCs w:val="32"/>
          <w:highlight w:val="none"/>
          <w:u w:val="none"/>
          <w:shd w:val="clear" w:color="auto" w:fill="FFFFFF"/>
        </w:rPr>
        <w:t>、纺织服装</w:t>
      </w:r>
      <w:r>
        <w:rPr>
          <w:rFonts w:hint="eastAsia" w:eastAsia="仿宋_GB2312"/>
          <w:color w:val="auto"/>
          <w:sz w:val="32"/>
          <w:szCs w:val="32"/>
          <w:highlight w:val="none"/>
          <w:u w:val="none"/>
          <w:shd w:val="clear" w:color="auto" w:fill="FFFFFF"/>
        </w:rPr>
        <w:t>等相关专业，</w:t>
      </w:r>
      <w:r>
        <w:rPr>
          <w:rFonts w:eastAsia="仿宋_GB2312"/>
          <w:color w:val="auto"/>
          <w:sz w:val="32"/>
          <w:szCs w:val="32"/>
          <w:highlight w:val="none"/>
          <w:u w:val="none"/>
          <w:shd w:val="clear" w:color="auto" w:fill="FFFFFF"/>
        </w:rPr>
        <w:t>打造</w:t>
      </w:r>
      <w:r>
        <w:rPr>
          <w:rFonts w:hint="eastAsia" w:eastAsia="仿宋_GB2312"/>
          <w:color w:val="auto"/>
          <w:sz w:val="32"/>
          <w:szCs w:val="32"/>
          <w:highlight w:val="none"/>
          <w:u w:val="none"/>
          <w:shd w:val="clear" w:color="auto" w:fill="FFFFFF"/>
        </w:rPr>
        <w:t>智能制造、文旅餐饮、直播电商</w:t>
      </w:r>
      <w:r>
        <w:rPr>
          <w:rFonts w:eastAsia="仿宋_GB2312"/>
          <w:color w:val="auto"/>
          <w:sz w:val="32"/>
          <w:szCs w:val="32"/>
          <w:highlight w:val="none"/>
          <w:u w:val="none"/>
          <w:shd w:val="clear" w:color="auto" w:fill="FFFFFF"/>
        </w:rPr>
        <w:t>等特色专业群。成功建成省级技工教育优质校的，市财政一次性给予</w:t>
      </w:r>
      <w:r>
        <w:rPr>
          <w:rFonts w:hint="eastAsia" w:eastAsia="仿宋_GB2312"/>
          <w:color w:val="auto"/>
          <w:sz w:val="32"/>
          <w:szCs w:val="32"/>
          <w:highlight w:val="none"/>
          <w:u w:val="none"/>
          <w:shd w:val="clear" w:color="auto" w:fill="FFFFFF"/>
          <w:lang w:val="en-US" w:eastAsia="zh-CN"/>
        </w:rPr>
        <w:t>1</w:t>
      </w:r>
      <w:r>
        <w:rPr>
          <w:rFonts w:eastAsia="仿宋_GB2312"/>
          <w:color w:val="auto"/>
          <w:sz w:val="32"/>
          <w:szCs w:val="32"/>
          <w:highlight w:val="none"/>
          <w:u w:val="none"/>
          <w:shd w:val="clear" w:color="auto" w:fill="FFFFFF"/>
        </w:rPr>
        <w:t>0万元建设补助资金</w:t>
      </w:r>
      <w:r>
        <w:rPr>
          <w:rFonts w:hint="eastAsia" w:eastAsia="仿宋_GB2312"/>
          <w:color w:val="auto"/>
          <w:sz w:val="32"/>
          <w:szCs w:val="32"/>
          <w:highlight w:val="none"/>
          <w:u w:val="none"/>
          <w:shd w:val="clear" w:color="auto" w:fill="FFFFFF"/>
          <w:lang w:eastAsia="zh-CN"/>
        </w:rPr>
        <w:t>。</w:t>
      </w:r>
      <w:r>
        <w:rPr>
          <w:rFonts w:hint="eastAsia" w:ascii="仿宋_GB2312" w:hAnsi="仿宋_GB2312" w:eastAsia="仿宋_GB2312" w:cs="仿宋_GB2312"/>
          <w:color w:val="auto"/>
          <w:spacing w:val="3"/>
          <w:sz w:val="32"/>
          <w:szCs w:val="32"/>
          <w:highlight w:val="none"/>
          <w:u w:val="none"/>
          <w:lang w:val="en-US" w:eastAsia="zh-CN"/>
        </w:rPr>
        <w:t>围绕加快发展新质生产力，支持技工院校加强与各类龙头企业、产业链链主企业合作，根据产业链发展需求，面向链上企业开展职业技能培训和评价。优化区域资源配置，推进终身职业技能培训制度。（牵头单位：</w:t>
      </w:r>
      <w:r>
        <w:rPr>
          <w:rFonts w:hint="default" w:ascii="仿宋_GB2312" w:hAnsi="仿宋_GB2312" w:eastAsia="仿宋_GB2312" w:cs="仿宋_GB2312"/>
          <w:color w:val="auto"/>
          <w:spacing w:val="3"/>
          <w:sz w:val="32"/>
          <w:szCs w:val="32"/>
          <w:highlight w:val="none"/>
          <w:u w:val="none"/>
          <w:lang w:val="en" w:eastAsia="zh-CN"/>
        </w:rPr>
        <w:t>市人力资源社会保障局</w:t>
      </w:r>
      <w:r>
        <w:rPr>
          <w:rFonts w:hint="eastAsia" w:ascii="仿宋_GB2312" w:hAnsi="仿宋_GB2312" w:eastAsia="仿宋_GB2312" w:cs="仿宋_GB2312"/>
          <w:color w:val="auto"/>
          <w:spacing w:val="3"/>
          <w:sz w:val="32"/>
          <w:szCs w:val="32"/>
          <w:highlight w:val="none"/>
          <w:u w:val="none"/>
          <w:lang w:val="en-US" w:eastAsia="zh-CN"/>
        </w:rPr>
        <w:t>，责任单位：市工业和信息化局、市财政局）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right="0" w:firstLine="652" w:firstLineChars="200"/>
        <w:jc w:val="both"/>
        <w:textAlignment w:val="baseline"/>
        <w:rPr>
          <w:rFonts w:hint="eastAsia" w:ascii="仿宋_GB2312" w:hAnsi="仿宋_GB2312" w:eastAsia="仿宋_GB2312" w:cs="仿宋_GB2312"/>
          <w:color w:val="auto"/>
          <w:spacing w:val="3"/>
          <w:sz w:val="32"/>
          <w:szCs w:val="32"/>
          <w:highlight w:val="none"/>
          <w:u w:val="none"/>
          <w:lang w:val="en-US" w:eastAsia="zh-CN"/>
        </w:rPr>
      </w:pPr>
      <w:r>
        <w:rPr>
          <w:rFonts w:hint="eastAsia" w:ascii="楷体_GB2312" w:hAnsi="楷体_GB2312" w:eastAsia="楷体_GB2312" w:cs="楷体_GB2312"/>
          <w:color w:val="auto"/>
          <w:spacing w:val="3"/>
          <w:sz w:val="32"/>
          <w:szCs w:val="32"/>
          <w:highlight w:val="none"/>
          <w:u w:val="none"/>
          <w:lang w:val="en-US" w:eastAsia="zh-CN"/>
        </w:rPr>
        <w:t>（三）完善现代技工教育人才培养体系。</w:t>
      </w:r>
      <w:r>
        <w:rPr>
          <w:rFonts w:hint="eastAsia" w:ascii="仿宋_GB2312" w:hAnsi="仿宋_GB2312" w:eastAsia="仿宋_GB2312" w:cs="仿宋_GB2312"/>
          <w:color w:val="auto"/>
          <w:spacing w:val="3"/>
          <w:sz w:val="32"/>
          <w:szCs w:val="32"/>
          <w:highlight w:val="none"/>
          <w:u w:val="none"/>
          <w:lang w:val="en-US" w:eastAsia="zh-CN"/>
        </w:rPr>
        <w:t>完善适应技能人才培养规律的全日制、非全日制、社会培训等人才培养方式，争取高技能人才长学制贯通合作培养试点。鼓励技工院校与企业合作开展企业新型学徒制人才培养，对企业新型学徒制试点工作予以政策与资金支持。支持企业技能岗位人员到技工院校进行技能提升深造。</w:t>
      </w:r>
      <w:r>
        <w:rPr>
          <w:rFonts w:hint="default" w:ascii="仿宋_GB2312" w:hAnsi="仿宋_GB2312" w:eastAsia="仿宋_GB2312" w:cs="仿宋_GB2312"/>
          <w:color w:val="auto"/>
          <w:spacing w:val="3"/>
          <w:sz w:val="32"/>
          <w:szCs w:val="32"/>
          <w:highlight w:val="none"/>
          <w:u w:val="none"/>
          <w:lang w:val="en" w:eastAsia="zh-CN"/>
        </w:rPr>
        <w:t>落实</w:t>
      </w:r>
      <w:r>
        <w:rPr>
          <w:rFonts w:hint="eastAsia" w:ascii="仿宋_GB2312" w:hAnsi="仿宋_GB2312" w:eastAsia="仿宋_GB2312" w:cs="仿宋_GB2312"/>
          <w:color w:val="auto"/>
          <w:spacing w:val="3"/>
          <w:sz w:val="32"/>
          <w:szCs w:val="32"/>
          <w:highlight w:val="none"/>
          <w:u w:val="none"/>
          <w:lang w:val="en-US" w:eastAsia="zh-CN"/>
        </w:rPr>
        <w:t>技工教育特色学分银行制度。鼓励技工院校学生实施多项技能培训及认定，培养更多掌握多项技能的一专多能人才。（责任单位：市人力资源社会保障局）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right="0" w:firstLine="652" w:firstLineChars="200"/>
        <w:jc w:val="both"/>
        <w:textAlignment w:val="baseline"/>
        <w:rPr>
          <w:rFonts w:hint="eastAsia" w:ascii="黑体" w:hAnsi="黑体" w:eastAsia="黑体" w:cs="黑体"/>
          <w:color w:val="auto"/>
          <w:spacing w:val="3"/>
          <w:sz w:val="32"/>
          <w:szCs w:val="32"/>
          <w:highlight w:val="none"/>
          <w:u w:val="none"/>
          <w:lang w:val="en-US" w:eastAsia="zh-CN"/>
        </w:rPr>
      </w:pPr>
      <w:r>
        <w:rPr>
          <w:rFonts w:hint="eastAsia" w:ascii="黑体" w:hAnsi="黑体" w:eastAsia="黑体" w:cs="黑体"/>
          <w:color w:val="auto"/>
          <w:spacing w:val="3"/>
          <w:sz w:val="32"/>
          <w:szCs w:val="32"/>
          <w:highlight w:val="none"/>
          <w:u w:val="none"/>
          <w:lang w:val="en-US" w:eastAsia="zh-CN"/>
        </w:rPr>
        <w:t>二、推进优质技工教育提质扩容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right="0" w:firstLine="652" w:firstLineChars="200"/>
        <w:jc w:val="both"/>
        <w:textAlignment w:val="baseline"/>
        <w:rPr>
          <w:rFonts w:hint="eastAsia" w:ascii="仿宋_GB2312" w:hAnsi="仿宋_GB2312" w:eastAsia="仿宋_GB2312" w:cs="仿宋_GB2312"/>
          <w:color w:val="auto"/>
          <w:spacing w:val="3"/>
          <w:sz w:val="32"/>
          <w:szCs w:val="32"/>
          <w:highlight w:val="none"/>
          <w:u w:val="none"/>
          <w:lang w:val="en-US" w:eastAsia="zh-CN"/>
        </w:rPr>
      </w:pPr>
      <w:r>
        <w:rPr>
          <w:rFonts w:hint="eastAsia" w:ascii="楷体_GB2312" w:hAnsi="楷体_GB2312" w:eastAsia="楷体_GB2312" w:cs="楷体_GB2312"/>
          <w:color w:val="auto"/>
          <w:spacing w:val="3"/>
          <w:sz w:val="32"/>
          <w:szCs w:val="32"/>
          <w:highlight w:val="none"/>
          <w:u w:val="none"/>
          <w:lang w:val="en-US" w:eastAsia="zh-CN"/>
        </w:rPr>
        <w:t>（四）支持社会力量举办技工教育。</w:t>
      </w:r>
      <w:r>
        <w:rPr>
          <w:rFonts w:hint="eastAsia" w:ascii="仿宋_GB2312" w:hAnsi="仿宋_GB2312" w:eastAsia="仿宋_GB2312" w:cs="仿宋_GB2312"/>
          <w:color w:val="auto"/>
          <w:spacing w:val="3"/>
          <w:sz w:val="32"/>
          <w:szCs w:val="32"/>
          <w:highlight w:val="none"/>
          <w:u w:val="none"/>
          <w:lang w:val="en-US" w:eastAsia="zh-CN"/>
        </w:rPr>
        <w:t>发挥大型企业重要办学主体作用，支持大型企业和优质技工院校多元主体组建技工教育集团（联盟）。企业投资举办技工院校的建设用地，按教育用地管理。</w:t>
      </w:r>
      <w:r>
        <w:rPr>
          <w:rFonts w:eastAsia="仿宋_GB2312"/>
          <w:color w:val="auto"/>
          <w:sz w:val="32"/>
          <w:szCs w:val="32"/>
          <w:highlight w:val="none"/>
          <w:u w:val="none"/>
          <w:shd w:val="clear" w:color="auto" w:fill="FFFFFF"/>
        </w:rPr>
        <w:t>鼓励集团（联盟）院校、企业共同招生招工，联合制定人才培养计划，开展订单式定制培养。建立紧缺职业（工种）目录清单，支持招收目录清单内的专业（工种）学生</w:t>
      </w:r>
      <w:r>
        <w:rPr>
          <w:rFonts w:hint="eastAsia" w:eastAsia="仿宋_GB2312"/>
          <w:color w:val="auto"/>
          <w:sz w:val="32"/>
          <w:szCs w:val="32"/>
          <w:highlight w:val="none"/>
          <w:u w:val="none"/>
          <w:shd w:val="clear" w:color="auto" w:fill="FFFFFF"/>
          <w:lang w:eastAsia="zh-CN"/>
        </w:rPr>
        <w:t>。</w:t>
      </w:r>
      <w:r>
        <w:rPr>
          <w:rFonts w:hint="eastAsia" w:ascii="仿宋_GB2312" w:hAnsi="仿宋_GB2312" w:eastAsia="仿宋_GB2312" w:cs="仿宋_GB2312"/>
          <w:color w:val="auto"/>
          <w:spacing w:val="3"/>
          <w:sz w:val="32"/>
          <w:szCs w:val="32"/>
          <w:highlight w:val="none"/>
          <w:u w:val="none"/>
          <w:lang w:val="en-US" w:eastAsia="zh-CN"/>
        </w:rPr>
        <w:t>（牵头单位：市人力资源社会保障局，责任单位：市自然资源局、市国资委、市财政局）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right="0" w:rightChars="0" w:firstLine="652" w:firstLineChars="200"/>
        <w:jc w:val="both"/>
        <w:textAlignment w:val="baseline"/>
        <w:rPr>
          <w:rFonts w:hint="eastAsia" w:ascii="仿宋_GB2312" w:hAnsi="仿宋_GB2312" w:eastAsia="仿宋_GB2312" w:cs="仿宋_GB2312"/>
          <w:color w:val="auto"/>
          <w:spacing w:val="3"/>
          <w:sz w:val="32"/>
          <w:szCs w:val="32"/>
          <w:highlight w:val="none"/>
          <w:u w:val="none"/>
          <w:lang w:val="en-US" w:eastAsia="zh-CN"/>
        </w:rPr>
      </w:pPr>
      <w:r>
        <w:rPr>
          <w:rFonts w:hint="eastAsia" w:ascii="楷体_GB2312" w:hAnsi="楷体_GB2312" w:eastAsia="楷体_GB2312" w:cs="楷体_GB2312"/>
          <w:color w:val="auto"/>
          <w:spacing w:val="3"/>
          <w:sz w:val="32"/>
          <w:szCs w:val="32"/>
          <w:highlight w:val="none"/>
          <w:u w:val="none"/>
          <w:lang w:val="en-US" w:eastAsia="zh-CN"/>
        </w:rPr>
        <w:t>（五）加强技工院校基础能力建设。</w:t>
      </w:r>
      <w:r>
        <w:rPr>
          <w:rFonts w:hint="eastAsia" w:ascii="仿宋_GB2312" w:hAnsi="仿宋_GB2312" w:eastAsia="仿宋_GB2312" w:cs="仿宋_GB2312"/>
          <w:color w:val="auto"/>
          <w:spacing w:val="3"/>
          <w:sz w:val="32"/>
          <w:szCs w:val="32"/>
          <w:highlight w:val="none"/>
          <w:u w:val="none"/>
          <w:lang w:val="en-US" w:eastAsia="zh-CN"/>
        </w:rPr>
        <w:t>推动技工教育与经济社会发展需求有效衔接，促进技工院校合理布局。编制并动态更新技工院校建设项目库，支持学校新建（改扩建）产教融合实训基地、公共实训基地、设备更新等项目建设，支持符合条件的技工院校项目申请地方政府专项债券、超长期特别国债、中长期贷款、预算内投资等资金，在规划建设产教融合实训基地、公共实训基地时按规定减免地方税费。2030年底前，依托优质技工院校建设1个产教融合实训基地和3个公共实训基地。提升技工院校数字化治理能力，鼓励技工院校加强数字化资源建设，促进教学资源共建共享。开展技工院校办学水平评估工作，逐步提高全省技工院校办学水平和质量。（牵头单位：市人力资源社会保障局，责任单位：市发展改革委、市税务局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52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pacing w:val="3"/>
          <w:sz w:val="32"/>
          <w:szCs w:val="32"/>
          <w:highlight w:val="none"/>
          <w:u w:val="none"/>
          <w:lang w:val="en-US" w:eastAsia="zh-CN"/>
        </w:rPr>
      </w:pPr>
      <w:r>
        <w:rPr>
          <w:rFonts w:hint="eastAsia" w:ascii="楷体_GB2312" w:hAnsi="楷体_GB2312" w:eastAsia="楷体_GB2312" w:cs="楷体_GB2312"/>
          <w:color w:val="auto"/>
          <w:spacing w:val="3"/>
          <w:sz w:val="32"/>
          <w:szCs w:val="32"/>
          <w:highlight w:val="none"/>
          <w:u w:val="none"/>
          <w:lang w:val="en-US" w:eastAsia="zh-CN"/>
        </w:rPr>
        <w:t>（六）增强平台载体支撑能力。</w:t>
      </w:r>
      <w:r>
        <w:rPr>
          <w:rFonts w:hint="eastAsia" w:ascii="仿宋_GB2312" w:hAnsi="仿宋_GB2312" w:eastAsia="仿宋_GB2312" w:cs="仿宋_GB2312"/>
          <w:color w:val="auto"/>
          <w:spacing w:val="3"/>
          <w:sz w:val="32"/>
          <w:szCs w:val="32"/>
          <w:highlight w:val="none"/>
          <w:u w:val="none"/>
          <w:lang w:val="en-US" w:eastAsia="zh-CN"/>
        </w:rPr>
        <w:t>争取获批世界技能大赛省级重点集训基地和省级集训基地，鼓励建立市级竞赛基地。争取省级职业训练院建设试点。支持依托技工院校建设一批高技能人才特色载体，</w:t>
      </w:r>
      <w:r>
        <w:rPr>
          <w:rFonts w:hint="eastAsia" w:ascii="宋体" w:hAnsi="宋体" w:eastAsia="仿宋_GB2312" w:cs="仿宋_GB2312"/>
          <w:color w:val="auto"/>
          <w:sz w:val="32"/>
          <w:szCs w:val="32"/>
          <w:highlight w:val="none"/>
          <w:u w:val="none"/>
          <w:lang w:val="en-US" w:eastAsia="zh-CN"/>
        </w:rPr>
        <w:t>给予国家级高技能人才培训基地一次性100万元经费资助，国家级技能大师工作室、世界技能大赛中国集训基地一次性</w:t>
      </w:r>
      <w:r>
        <w:rPr>
          <w:rFonts w:hint="default" w:ascii="宋体" w:hAnsi="宋体" w:eastAsia="仿宋_GB2312" w:cs="仿宋_GB2312"/>
          <w:color w:val="auto"/>
          <w:sz w:val="32"/>
          <w:szCs w:val="32"/>
          <w:highlight w:val="none"/>
          <w:u w:val="none"/>
          <w:lang w:val="en-US" w:eastAsia="zh-CN"/>
        </w:rPr>
        <w:t>50</w:t>
      </w:r>
      <w:r>
        <w:rPr>
          <w:rFonts w:hint="eastAsia" w:ascii="宋体" w:hAnsi="宋体" w:eastAsia="仿宋_GB2312" w:cs="仿宋_GB2312"/>
          <w:color w:val="auto"/>
          <w:sz w:val="32"/>
          <w:szCs w:val="32"/>
          <w:highlight w:val="none"/>
          <w:u w:val="none"/>
          <w:lang w:val="en-US" w:eastAsia="zh-CN"/>
        </w:rPr>
        <w:t>万元经费资助</w:t>
      </w:r>
      <w:r>
        <w:rPr>
          <w:rFonts w:hint="default" w:ascii="宋体" w:hAnsi="宋体" w:eastAsia="仿宋_GB2312" w:cs="仿宋_GB2312"/>
          <w:color w:val="auto"/>
          <w:sz w:val="32"/>
          <w:szCs w:val="32"/>
          <w:highlight w:val="none"/>
          <w:u w:val="none"/>
          <w:lang w:val="en" w:eastAsia="zh-CN"/>
        </w:rPr>
        <w:t>。给予</w:t>
      </w:r>
      <w:r>
        <w:rPr>
          <w:rFonts w:hint="eastAsia" w:ascii="宋体" w:hAnsi="宋体" w:eastAsia="仿宋_GB2312" w:cs="仿宋_GB2312"/>
          <w:color w:val="auto"/>
          <w:sz w:val="32"/>
          <w:szCs w:val="32"/>
          <w:highlight w:val="none"/>
          <w:u w:val="none"/>
          <w:lang w:val="en-US" w:eastAsia="zh-CN"/>
        </w:rPr>
        <w:t>齐鲁技能大师特色工作站</w:t>
      </w:r>
      <w:r>
        <w:rPr>
          <w:rFonts w:hint="default" w:ascii="宋体" w:hAnsi="宋体" w:eastAsia="仿宋_GB2312" w:cs="仿宋_GB2312"/>
          <w:color w:val="auto"/>
          <w:sz w:val="32"/>
          <w:szCs w:val="32"/>
          <w:highlight w:val="none"/>
          <w:u w:val="none"/>
          <w:lang w:val="en" w:eastAsia="zh-CN"/>
        </w:rPr>
        <w:t>、</w:t>
      </w:r>
      <w:r>
        <w:rPr>
          <w:rFonts w:hint="eastAsia" w:ascii="宋体" w:hAnsi="宋体" w:eastAsia="仿宋_GB2312" w:cs="仿宋_GB2312"/>
          <w:color w:val="auto"/>
          <w:sz w:val="32"/>
          <w:szCs w:val="32"/>
          <w:highlight w:val="none"/>
          <w:u w:val="none"/>
          <w:lang w:val="en-US" w:eastAsia="zh-CN"/>
        </w:rPr>
        <w:t>世界技能大赛省级集训基地一次性</w:t>
      </w:r>
      <w:r>
        <w:rPr>
          <w:rFonts w:hint="default" w:ascii="宋体" w:hAnsi="宋体" w:eastAsia="仿宋_GB2312" w:cs="仿宋_GB2312"/>
          <w:color w:val="auto"/>
          <w:sz w:val="32"/>
          <w:szCs w:val="32"/>
          <w:highlight w:val="none"/>
          <w:u w:val="none"/>
          <w:lang w:val="en-US" w:eastAsia="zh-CN"/>
        </w:rPr>
        <w:t>10</w:t>
      </w:r>
      <w:r>
        <w:rPr>
          <w:rFonts w:hint="eastAsia" w:ascii="宋体" w:hAnsi="宋体" w:eastAsia="仿宋_GB2312" w:cs="仿宋_GB2312"/>
          <w:color w:val="auto"/>
          <w:sz w:val="32"/>
          <w:szCs w:val="32"/>
          <w:highlight w:val="none"/>
          <w:u w:val="none"/>
          <w:lang w:val="en-US" w:eastAsia="zh-CN"/>
        </w:rPr>
        <w:t>万元经费资助。</w:t>
      </w:r>
      <w:r>
        <w:rPr>
          <w:rFonts w:hint="eastAsia" w:ascii="仿宋_GB2312" w:hAnsi="仿宋_GB2312" w:eastAsia="仿宋_GB2312" w:cs="仿宋_GB2312"/>
          <w:color w:val="auto"/>
          <w:spacing w:val="3"/>
          <w:sz w:val="32"/>
          <w:szCs w:val="32"/>
          <w:highlight w:val="none"/>
          <w:u w:val="none"/>
          <w:lang w:val="en-US" w:eastAsia="zh-CN"/>
        </w:rPr>
        <w:t>对高技能人才培养平台载体建设项目，按照市场化法治化原则，加大金融信贷支持力度。（牵头单位：市人力资源社会保障局，责任单位：市发展改革委、市财政局、市金融监管局、人民银行威海支行）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right="0" w:firstLine="652" w:firstLineChars="200"/>
        <w:jc w:val="both"/>
        <w:textAlignment w:val="baseline"/>
        <w:rPr>
          <w:rFonts w:hint="eastAsia" w:ascii="仿宋_GB2312" w:hAnsi="仿宋_GB2312" w:eastAsia="仿宋_GB2312" w:cs="仿宋_GB2312"/>
          <w:color w:val="auto"/>
          <w:spacing w:val="3"/>
          <w:sz w:val="32"/>
          <w:szCs w:val="32"/>
          <w:highlight w:val="none"/>
          <w:u w:val="none"/>
          <w:lang w:val="en-US" w:eastAsia="zh-CN"/>
        </w:rPr>
      </w:pPr>
      <w:r>
        <w:rPr>
          <w:rFonts w:hint="eastAsia" w:ascii="黑体" w:hAnsi="黑体" w:eastAsia="黑体" w:cs="黑体"/>
          <w:color w:val="auto"/>
          <w:spacing w:val="3"/>
          <w:sz w:val="32"/>
          <w:szCs w:val="32"/>
          <w:highlight w:val="none"/>
          <w:u w:val="none"/>
          <w:lang w:val="en-US" w:eastAsia="zh-CN"/>
        </w:rPr>
        <w:t>三、加强技工教育内涵建设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right="0" w:firstLine="652" w:firstLineChars="200"/>
        <w:jc w:val="both"/>
        <w:textAlignment w:val="baseline"/>
        <w:rPr>
          <w:rFonts w:hint="eastAsia" w:ascii="仿宋_GB2312" w:hAnsi="仿宋_GB2312" w:eastAsia="仿宋_GB2312" w:cs="仿宋_GB2312"/>
          <w:color w:val="auto"/>
          <w:spacing w:val="3"/>
          <w:sz w:val="32"/>
          <w:szCs w:val="32"/>
          <w:highlight w:val="none"/>
          <w:u w:val="none"/>
          <w:lang w:val="en-US" w:eastAsia="zh-CN"/>
        </w:rPr>
      </w:pPr>
      <w:r>
        <w:rPr>
          <w:rFonts w:hint="eastAsia" w:ascii="楷体_GB2312" w:hAnsi="楷体_GB2312" w:eastAsia="楷体_GB2312" w:cs="楷体_GB2312"/>
          <w:color w:val="auto"/>
          <w:spacing w:val="3"/>
          <w:sz w:val="32"/>
          <w:szCs w:val="32"/>
          <w:highlight w:val="none"/>
          <w:u w:val="none"/>
          <w:lang w:val="en-US" w:eastAsia="zh-CN"/>
        </w:rPr>
        <w:t>（七）全面推进工学一体化人才培养模式。</w:t>
      </w:r>
      <w:r>
        <w:rPr>
          <w:rFonts w:hint="eastAsia" w:ascii="仿宋_GB2312" w:hAnsi="仿宋_GB2312" w:eastAsia="仿宋_GB2312" w:cs="仿宋_GB2312"/>
          <w:color w:val="auto"/>
          <w:spacing w:val="3"/>
          <w:sz w:val="32"/>
          <w:szCs w:val="32"/>
          <w:highlight w:val="none"/>
          <w:u w:val="none"/>
          <w:lang w:val="en-US" w:eastAsia="zh-CN"/>
        </w:rPr>
        <w:t>坚持校企双制、工学一体的技能人才培养模式，</w:t>
      </w:r>
      <w:r>
        <w:rPr>
          <w:rFonts w:eastAsia="仿宋_GB2312"/>
          <w:color w:val="auto"/>
          <w:sz w:val="32"/>
          <w:szCs w:val="32"/>
          <w:highlight w:val="none"/>
          <w:u w:val="none"/>
          <w:shd w:val="clear" w:color="auto" w:fill="FFFFFF"/>
        </w:rPr>
        <w:t>推动</w:t>
      </w:r>
      <w:r>
        <w:rPr>
          <w:rFonts w:hint="eastAsia" w:eastAsia="仿宋_GB2312"/>
          <w:color w:val="auto"/>
          <w:sz w:val="32"/>
          <w:szCs w:val="32"/>
          <w:highlight w:val="none"/>
          <w:u w:val="none"/>
          <w:shd w:val="clear" w:color="auto" w:fill="FFFFFF"/>
          <w:lang w:eastAsia="zh-CN"/>
        </w:rPr>
        <w:t>技工教育</w:t>
      </w:r>
      <w:r>
        <w:rPr>
          <w:rFonts w:eastAsia="仿宋_GB2312"/>
          <w:color w:val="auto"/>
          <w:sz w:val="32"/>
          <w:szCs w:val="32"/>
          <w:highlight w:val="none"/>
          <w:u w:val="none"/>
          <w:shd w:val="clear" w:color="auto" w:fill="FFFFFF"/>
        </w:rPr>
        <w:t>集团（联盟）内部资源共享，利用校企双方现有场地、仪器设备和前沿技术支持，共建共享生产性实训基地、高技能人才培训基地、技能大师工作室、技能竞赛集训基地等。</w:t>
      </w:r>
      <w:r>
        <w:rPr>
          <w:rFonts w:hint="eastAsia" w:ascii="仿宋_GB2312" w:hAnsi="仿宋_GB2312" w:eastAsia="仿宋_GB2312" w:cs="仿宋_GB2312"/>
          <w:color w:val="auto"/>
          <w:spacing w:val="3"/>
          <w:sz w:val="32"/>
          <w:szCs w:val="32"/>
          <w:highlight w:val="none"/>
          <w:u w:val="none"/>
          <w:lang w:val="en-US" w:eastAsia="zh-CN"/>
        </w:rPr>
        <w:t>争取建设省级技工院校工学一体化师资培训基地，开展一体化教学研修培训和能力认定。争取省级工学一体化培养模式专项课题立项，加速我市工学一体化人才培养模式改革。</w:t>
      </w:r>
      <w:r>
        <w:rPr>
          <w:rFonts w:eastAsia="仿宋_GB2312"/>
          <w:color w:val="auto"/>
          <w:sz w:val="32"/>
          <w:szCs w:val="32"/>
          <w:highlight w:val="none"/>
          <w:u w:val="none"/>
          <w:shd w:val="clear" w:color="auto" w:fill="FFFFFF"/>
        </w:rPr>
        <w:t>以</w:t>
      </w:r>
      <w:r>
        <w:rPr>
          <w:rFonts w:hint="eastAsia" w:eastAsia="仿宋_GB2312"/>
          <w:color w:val="auto"/>
          <w:sz w:val="32"/>
          <w:szCs w:val="32"/>
          <w:highlight w:val="none"/>
          <w:u w:val="none"/>
          <w:shd w:val="clear" w:color="auto" w:fill="FFFFFF"/>
          <w:lang w:eastAsia="zh-CN"/>
        </w:rPr>
        <w:t>技工教育</w:t>
      </w:r>
      <w:r>
        <w:rPr>
          <w:rFonts w:eastAsia="仿宋_GB2312"/>
          <w:color w:val="auto"/>
          <w:sz w:val="32"/>
          <w:szCs w:val="32"/>
          <w:highlight w:val="none"/>
          <w:u w:val="none"/>
          <w:shd w:val="clear" w:color="auto" w:fill="FFFFFF"/>
        </w:rPr>
        <w:t>集团</w:t>
      </w:r>
      <w:r>
        <w:rPr>
          <w:rFonts w:hint="eastAsia" w:eastAsia="仿宋_GB2312"/>
          <w:color w:val="auto"/>
          <w:sz w:val="32"/>
          <w:szCs w:val="32"/>
          <w:highlight w:val="none"/>
          <w:u w:val="none"/>
          <w:shd w:val="clear" w:color="auto" w:fill="FFFFFF"/>
          <w:lang w:eastAsia="zh-CN"/>
        </w:rPr>
        <w:t>（联盟）</w:t>
      </w:r>
      <w:r>
        <w:rPr>
          <w:rFonts w:eastAsia="仿宋_GB2312"/>
          <w:color w:val="auto"/>
          <w:sz w:val="32"/>
          <w:szCs w:val="32"/>
          <w:highlight w:val="none"/>
          <w:u w:val="none"/>
          <w:shd w:val="clear" w:color="auto" w:fill="FFFFFF"/>
        </w:rPr>
        <w:t>为依托，定期举办“技能兴威”</w:t>
      </w:r>
      <w:r>
        <w:rPr>
          <w:rFonts w:hint="eastAsia" w:eastAsia="仿宋_GB2312"/>
          <w:color w:val="auto"/>
          <w:sz w:val="32"/>
          <w:szCs w:val="32"/>
          <w:highlight w:val="none"/>
          <w:u w:val="none"/>
          <w:shd w:val="clear" w:color="auto" w:fill="FFFFFF"/>
          <w:lang w:eastAsia="zh-CN"/>
        </w:rPr>
        <w:t>系列</w:t>
      </w:r>
      <w:r>
        <w:rPr>
          <w:rFonts w:eastAsia="仿宋_GB2312"/>
          <w:color w:val="auto"/>
          <w:sz w:val="32"/>
          <w:szCs w:val="32"/>
          <w:highlight w:val="none"/>
          <w:u w:val="none"/>
          <w:shd w:val="clear" w:color="auto" w:fill="FFFFFF"/>
        </w:rPr>
        <w:t>职业技能大赛、</w:t>
      </w:r>
      <w:r>
        <w:rPr>
          <w:rFonts w:hint="eastAsia" w:ascii="仿宋_GB2312" w:hAnsi="仿宋_GB2312" w:eastAsia="仿宋_GB2312" w:cs="仿宋_GB2312"/>
          <w:color w:val="auto"/>
          <w:spacing w:val="3"/>
          <w:sz w:val="32"/>
          <w:szCs w:val="32"/>
          <w:highlight w:val="none"/>
          <w:u w:val="none"/>
          <w:lang w:val="en-US" w:eastAsia="zh-CN"/>
        </w:rPr>
        <w:t>对大赛中取得优异成绩的选手、教练和单位，予以奖励。（责任单位：市人力资源社会保障局）</w:t>
      </w:r>
    </w:p>
    <w:p>
      <w:pPr>
        <w:pStyle w:val="6"/>
        <w:spacing w:before="0" w:beforeAutospacing="0" w:after="0" w:afterAutospacing="0" w:line="560" w:lineRule="exact"/>
        <w:ind w:firstLine="652" w:firstLineChars="200"/>
        <w:jc w:val="both"/>
        <w:rPr>
          <w:rFonts w:eastAsia="仿宋_GB2312"/>
          <w:color w:val="auto"/>
          <w:sz w:val="32"/>
          <w:szCs w:val="32"/>
          <w:highlight w:val="none"/>
          <w:u w:val="none"/>
          <w:shd w:val="clear" w:color="auto" w:fill="FFFFFF"/>
        </w:rPr>
      </w:pPr>
      <w:r>
        <w:rPr>
          <w:rFonts w:hint="eastAsia" w:ascii="楷体_GB2312" w:hAnsi="楷体_GB2312" w:eastAsia="楷体_GB2312" w:cs="楷体_GB2312"/>
          <w:snapToGrid w:val="0"/>
          <w:color w:val="auto"/>
          <w:spacing w:val="3"/>
          <w:kern w:val="0"/>
          <w:sz w:val="32"/>
          <w:szCs w:val="32"/>
          <w:highlight w:val="none"/>
          <w:u w:val="none"/>
          <w:lang w:val="en-US" w:eastAsia="zh-CN" w:bidi="ar-SA"/>
        </w:rPr>
        <w:t>（八）建设高水平师资队伍。</w:t>
      </w:r>
      <w:r>
        <w:rPr>
          <w:rFonts w:hint="eastAsia" w:ascii="仿宋_GB2312" w:hAnsi="仿宋_GB2312" w:eastAsia="仿宋_GB2312" w:cs="仿宋_GB2312"/>
          <w:color w:val="auto"/>
          <w:spacing w:val="3"/>
          <w:sz w:val="32"/>
          <w:szCs w:val="32"/>
          <w:highlight w:val="none"/>
          <w:u w:val="none"/>
          <w:lang w:val="en-US" w:eastAsia="zh-CN"/>
        </w:rPr>
        <w:t>实施技工院校教师职业能力提升计划，加强思政教师队伍建设，争取建设省级德育特色育人案例。每年举办全市技工院校教师职业能力大赛，按照“技能兴威”市级一类竞赛项目管理。每年开展市级技工教育和职业培训科研课题立项、结题工作，不断提升教师科研能力和水平。支持技工院校设立一批兼职教师岗位，聘请政府、高校、院所、企业的通识教育专家、高技能人才、工程管理人员等到校任教，引导骨干教师和企业高技能人才双向交流、互派互聘。</w:t>
      </w:r>
      <w:r>
        <w:rPr>
          <w:rFonts w:eastAsia="仿宋_GB2312"/>
          <w:color w:val="auto"/>
          <w:sz w:val="32"/>
          <w:szCs w:val="32"/>
          <w:highlight w:val="none"/>
          <w:u w:val="none"/>
          <w:shd w:val="clear" w:color="auto" w:fill="FFFFFF"/>
        </w:rPr>
        <w:t>设立“威海市技工教育集团（联盟）师资建设委员会”，整合各院校优势师资、技能大师、专业带头人，建立“威海技工教育师资库”，通过设立巡回导师、开展特邀讲座、进行结对帮扶等多种形式，进行柔性流动教学与指导，课时互认，实现师资力量的统筹与共享。</w:t>
      </w:r>
      <w:r>
        <w:rPr>
          <w:rFonts w:hint="eastAsia" w:eastAsia="仿宋_GB2312"/>
          <w:color w:val="auto"/>
          <w:sz w:val="32"/>
          <w:szCs w:val="32"/>
          <w:highlight w:val="none"/>
          <w:u w:val="none"/>
          <w:shd w:val="clear" w:color="auto" w:fill="FFFFFF"/>
        </w:rPr>
        <w:t>将集团（联盟）院校教师纳入全市教育系统教师研修培训及表彰推荐范围。</w:t>
      </w:r>
      <w:r>
        <w:rPr>
          <w:rFonts w:eastAsia="仿宋_GB2312"/>
          <w:color w:val="auto"/>
          <w:sz w:val="32"/>
          <w:szCs w:val="32"/>
          <w:highlight w:val="none"/>
          <w:u w:val="none"/>
          <w:shd w:val="clear" w:color="auto" w:fill="FFFFFF"/>
        </w:rPr>
        <w:t>（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3"/>
          <w:kern w:val="0"/>
          <w:sz w:val="32"/>
          <w:szCs w:val="32"/>
          <w:highlight w:val="none"/>
          <w:u w:val="none"/>
          <w:lang w:val="en-US" w:eastAsia="zh-CN" w:bidi="ar-SA"/>
        </w:rPr>
        <w:t>责任单位：市人力资源社会保障局、市教育局）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right="0" w:firstLine="652" w:firstLineChars="200"/>
        <w:jc w:val="both"/>
        <w:textAlignment w:val="baseline"/>
        <w:rPr>
          <w:rFonts w:hint="eastAsia" w:ascii="仿宋_GB2312" w:hAnsi="仿宋_GB2312" w:eastAsia="仿宋_GB2312" w:cs="仿宋_GB2312"/>
          <w:color w:val="auto"/>
          <w:spacing w:val="3"/>
          <w:sz w:val="32"/>
          <w:szCs w:val="32"/>
          <w:highlight w:val="none"/>
          <w:u w:val="none"/>
          <w:lang w:val="en-US" w:eastAsia="zh-CN"/>
        </w:rPr>
      </w:pPr>
      <w:r>
        <w:rPr>
          <w:rFonts w:hint="eastAsia" w:ascii="楷体_GB2312" w:hAnsi="楷体_GB2312" w:eastAsia="楷体_GB2312" w:cs="楷体_GB2312"/>
          <w:color w:val="auto"/>
          <w:spacing w:val="3"/>
          <w:sz w:val="32"/>
          <w:szCs w:val="32"/>
          <w:highlight w:val="none"/>
          <w:u w:val="none"/>
          <w:lang w:val="en-US" w:eastAsia="zh-CN"/>
        </w:rPr>
        <w:t>（九）实施产教融合提升行动。</w:t>
      </w:r>
      <w:r>
        <w:rPr>
          <w:rFonts w:hint="eastAsia" w:ascii="仿宋_GB2312" w:hAnsi="仿宋_GB2312" w:eastAsia="仿宋_GB2312" w:cs="仿宋_GB2312"/>
          <w:color w:val="auto"/>
          <w:spacing w:val="3"/>
          <w:sz w:val="32"/>
          <w:szCs w:val="32"/>
          <w:highlight w:val="none"/>
          <w:u w:val="none"/>
          <w:lang w:val="en-US" w:eastAsia="zh-CN"/>
        </w:rPr>
        <w:t>根据省技工院校校办工厂建设管理办法，鼓励有条件的技工院校，可以恢复、新建校办工厂，鼓励学校、企业共建共管“校中厂”“厂中校”。支持技工院校与企业等社会力量共建共管产业学院、生产性实训基地等办学机构。参与技工院校产教融合成效显著的企业，可按规定认定为“产教融合型企业”，落实“金融+财政+土地+信用”组合式激励和相关税收政策。（牵头单位：市发展改革委、市人力资源社会保障局，责任单位：市工业和信息化局、市财政局、市自然资源局、市国资委、市税务局）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right="0" w:rightChars="0" w:firstLine="652" w:firstLineChars="200"/>
        <w:jc w:val="both"/>
        <w:textAlignment w:val="baseline"/>
        <w:rPr>
          <w:rFonts w:hint="eastAsia" w:ascii="仿宋_GB2312" w:hAnsi="仿宋_GB2312" w:eastAsia="仿宋_GB2312" w:cs="仿宋_GB2312"/>
          <w:color w:val="auto"/>
          <w:spacing w:val="3"/>
          <w:sz w:val="32"/>
          <w:szCs w:val="32"/>
          <w:highlight w:val="none"/>
          <w:u w:val="none"/>
          <w:lang w:val="en-US" w:eastAsia="zh-CN"/>
        </w:rPr>
      </w:pPr>
      <w:r>
        <w:rPr>
          <w:rFonts w:hint="eastAsia" w:ascii="楷体_GB2312" w:hAnsi="楷体_GB2312" w:eastAsia="楷体_GB2312" w:cs="楷体_GB2312"/>
          <w:color w:val="auto"/>
          <w:spacing w:val="3"/>
          <w:sz w:val="32"/>
          <w:szCs w:val="32"/>
          <w:highlight w:val="none"/>
          <w:u w:val="none"/>
          <w:lang w:val="en-US" w:eastAsia="zh-CN"/>
        </w:rPr>
        <w:t>（十）强化国际合作交流。</w:t>
      </w:r>
      <w:r>
        <w:rPr>
          <w:rFonts w:hint="eastAsia" w:ascii="仿宋_GB2312" w:hAnsi="仿宋_GB2312" w:eastAsia="仿宋_GB2312" w:cs="仿宋_GB2312"/>
          <w:color w:val="auto"/>
          <w:spacing w:val="3"/>
          <w:sz w:val="32"/>
          <w:szCs w:val="32"/>
          <w:highlight w:val="none"/>
          <w:u w:val="none"/>
          <w:lang w:val="en-US" w:eastAsia="zh-CN"/>
        </w:rPr>
        <w:t>支持技工院校服务威海企业海外发展需要，构建“校随企出”的培养模式，招收国际学生、境外短期培训生，助力推进“一带一路”技能筑梦行动，积极服务中资企业出海。鼓励有条件的技工院校参加政府公派出国留学、青年国际实习交流计划等项目，培养具有国际视野的新时代技能人才。推动技工教育集团（联盟）院校与国（境）外优质院校、机构建立常态化合作，扩大师生出国（境）研修、培训、参赛及学术交流规模。集团（联盟）成员单位因教学、科研、竞赛等需要组团出访的，在外</w:t>
      </w:r>
      <w:bookmarkStart w:id="0" w:name="_GoBack"/>
      <w:r>
        <w:rPr>
          <w:rFonts w:hint="eastAsia" w:ascii="仿宋_GB2312" w:hAnsi="仿宋_GB2312" w:eastAsia="仿宋_GB2312" w:cs="仿宋_GB2312"/>
          <w:color w:val="auto"/>
          <w:spacing w:val="3"/>
          <w:sz w:val="32"/>
          <w:szCs w:val="32"/>
          <w:highlight w:val="none"/>
          <w:u w:val="none"/>
          <w:lang w:val="en-US" w:eastAsia="zh-CN"/>
        </w:rPr>
        <w:t>事审批中予以支持。（牵头单位：市人力资源社会保障局，责任单位：市外办、</w:t>
      </w:r>
      <w:r>
        <w:rPr>
          <w:rFonts w:hint="eastAsia" w:ascii="仿宋_GB2312" w:hAnsi="仿宋_GB2312" w:eastAsia="仿宋_GB2312" w:cs="仿宋_GB2312"/>
          <w:color w:val="auto"/>
          <w:spacing w:val="3"/>
          <w:sz w:val="32"/>
          <w:szCs w:val="32"/>
          <w:highlight w:val="none"/>
          <w:u w:val="none"/>
          <w:lang w:val="en-US" w:eastAsia="zh-CN"/>
        </w:rPr>
        <w:t>市国资委）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right="0" w:firstLine="652" w:firstLineChars="200"/>
        <w:jc w:val="both"/>
        <w:textAlignment w:val="baseline"/>
        <w:rPr>
          <w:rFonts w:hint="eastAsia" w:ascii="黑体" w:hAnsi="黑体" w:eastAsia="黑体" w:cs="黑体"/>
          <w:color w:val="auto"/>
          <w:spacing w:val="3"/>
          <w:sz w:val="32"/>
          <w:szCs w:val="32"/>
          <w:highlight w:val="none"/>
          <w:u w:val="none"/>
          <w:lang w:val="en-US" w:eastAsia="zh-CN"/>
        </w:rPr>
      </w:pPr>
      <w:r>
        <w:rPr>
          <w:rFonts w:hint="eastAsia" w:ascii="黑体" w:hAnsi="黑体" w:eastAsia="黑体" w:cs="黑体"/>
          <w:color w:val="auto"/>
          <w:spacing w:val="3"/>
          <w:sz w:val="32"/>
          <w:szCs w:val="32"/>
          <w:highlight w:val="none"/>
          <w:u w:val="none"/>
          <w:lang w:val="en-US" w:eastAsia="zh-CN"/>
        </w:rPr>
        <w:t>四、推动职业技能培训提质升级</w:t>
      </w:r>
    </w:p>
    <w:bookmarkEnd w:id="0"/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right="0" w:firstLine="652" w:firstLineChars="200"/>
        <w:jc w:val="both"/>
        <w:textAlignment w:val="baseline"/>
        <w:rPr>
          <w:rFonts w:hint="eastAsia" w:ascii="仿宋_GB2312" w:hAnsi="仿宋_GB2312" w:eastAsia="仿宋_GB2312" w:cs="仿宋_GB2312"/>
          <w:color w:val="auto"/>
          <w:spacing w:val="3"/>
          <w:sz w:val="32"/>
          <w:szCs w:val="32"/>
          <w:highlight w:val="none"/>
          <w:u w:val="none"/>
          <w:lang w:val="en-US" w:eastAsia="zh-CN"/>
        </w:rPr>
      </w:pPr>
      <w:r>
        <w:rPr>
          <w:rFonts w:hint="eastAsia" w:ascii="楷体_GB2312" w:hAnsi="楷体_GB2312" w:eastAsia="楷体_GB2312" w:cs="楷体_GB2312"/>
          <w:color w:val="auto"/>
          <w:spacing w:val="3"/>
          <w:sz w:val="32"/>
          <w:szCs w:val="32"/>
          <w:highlight w:val="none"/>
          <w:u w:val="none"/>
          <w:lang w:val="en-US" w:eastAsia="zh-CN"/>
        </w:rPr>
        <w:t>（十一）做大做强职业技能培训。</w:t>
      </w:r>
      <w:r>
        <w:rPr>
          <w:rFonts w:hint="eastAsia" w:ascii="仿宋_GB2312" w:hAnsi="仿宋_GB2312" w:eastAsia="仿宋_GB2312" w:cs="仿宋_GB2312"/>
          <w:color w:val="auto"/>
          <w:spacing w:val="3"/>
          <w:sz w:val="32"/>
          <w:szCs w:val="32"/>
          <w:highlight w:val="none"/>
          <w:u w:val="none"/>
          <w:lang w:val="en-US" w:eastAsia="zh-CN"/>
        </w:rPr>
        <w:t>支持技工院校发挥培训优势，面向社会广泛开展职业技能培训，按规定落实职业培训补贴政策。教师参与培训工作量可按一定比例折算成全日制学生培养工作量，在内部分配时向承担培训任务的一线教师倾斜。</w:t>
      </w:r>
      <w:r>
        <w:rPr>
          <w:rFonts w:eastAsia="仿宋_GB2312"/>
          <w:color w:val="auto"/>
          <w:sz w:val="32"/>
          <w:szCs w:val="32"/>
          <w:highlight w:val="none"/>
          <w:u w:val="none"/>
          <w:shd w:val="clear" w:color="auto" w:fill="FFFFFF"/>
        </w:rPr>
        <w:t>优先安排技工教育集团（联盟）承担政府部门组织的就业技能、岗位技能、创业人才和农村实用人才等培训任务</w:t>
      </w:r>
      <w:r>
        <w:rPr>
          <w:rFonts w:hint="eastAsia" w:eastAsia="仿宋_GB2312"/>
          <w:color w:val="auto"/>
          <w:sz w:val="32"/>
          <w:szCs w:val="32"/>
          <w:highlight w:val="none"/>
          <w:u w:val="none"/>
          <w:shd w:val="clear" w:color="auto" w:fill="FFFFFF"/>
          <w:lang w:eastAsia="zh-CN"/>
        </w:rPr>
        <w:t>。</w:t>
      </w:r>
      <w:r>
        <w:rPr>
          <w:rFonts w:eastAsia="仿宋_GB2312"/>
          <w:color w:val="auto"/>
          <w:sz w:val="32"/>
          <w:szCs w:val="32"/>
          <w:highlight w:val="none"/>
          <w:u w:val="none"/>
          <w:shd w:val="clear" w:color="auto" w:fill="FFFFFF"/>
        </w:rPr>
        <w:t>鼓励集团（联盟）院校</w:t>
      </w:r>
      <w:r>
        <w:rPr>
          <w:rFonts w:hint="eastAsia" w:eastAsia="仿宋_GB2312"/>
          <w:color w:val="auto"/>
          <w:sz w:val="32"/>
          <w:szCs w:val="32"/>
          <w:highlight w:val="none"/>
          <w:u w:val="none"/>
          <w:shd w:val="clear" w:color="auto" w:fill="FFFFFF"/>
        </w:rPr>
        <w:t>开展职业技能培训并扩大规模。</w:t>
      </w:r>
      <w:r>
        <w:rPr>
          <w:rFonts w:hint="eastAsia" w:eastAsia="仿宋_GB2312"/>
          <w:color w:val="auto"/>
          <w:sz w:val="32"/>
          <w:szCs w:val="32"/>
          <w:highlight w:val="none"/>
          <w:u w:val="none"/>
          <w:shd w:val="clear" w:color="auto" w:fill="FFFFFF"/>
          <w:lang w:val="en-US" w:eastAsia="zh-CN"/>
        </w:rPr>
        <w:t>技工</w:t>
      </w:r>
      <w:r>
        <w:rPr>
          <w:rFonts w:hint="eastAsia" w:eastAsia="仿宋_GB2312"/>
          <w:color w:val="auto"/>
          <w:sz w:val="32"/>
          <w:szCs w:val="32"/>
          <w:highlight w:val="none"/>
          <w:u w:val="none"/>
          <w:shd w:val="clear" w:color="auto" w:fill="FFFFFF"/>
        </w:rPr>
        <w:t>院校开展的社会培训、校企合作、自办企业等年度创收净收入，经有资质的第三方中介机构核定、主管部门审核、同级财政部门、人力资源社会保障部门审定后，可按不低于</w:t>
      </w:r>
      <w:r>
        <w:rPr>
          <w:rFonts w:hint="eastAsia" w:eastAsia="仿宋_GB2312"/>
          <w:color w:val="auto"/>
          <w:sz w:val="32"/>
          <w:szCs w:val="32"/>
          <w:highlight w:val="none"/>
          <w:u w:val="none"/>
          <w:shd w:val="clear" w:color="auto" w:fill="FFFFFF"/>
          <w:lang w:val="en-US" w:eastAsia="zh-CN"/>
        </w:rPr>
        <w:t>3</w:t>
      </w:r>
      <w:r>
        <w:rPr>
          <w:rFonts w:hint="eastAsia" w:eastAsia="仿宋_GB2312"/>
          <w:color w:val="auto"/>
          <w:sz w:val="32"/>
          <w:szCs w:val="32"/>
          <w:highlight w:val="none"/>
          <w:u w:val="none"/>
          <w:shd w:val="clear" w:color="auto" w:fill="FFFFFF"/>
        </w:rPr>
        <w:t>0%的比例用于奖励性绩效工资分配，纳入当年本单位绩效工资总量管理。</w:t>
      </w:r>
      <w:r>
        <w:rPr>
          <w:rFonts w:hint="eastAsia" w:ascii="仿宋_GB2312" w:hAnsi="仿宋_GB2312" w:eastAsia="仿宋_GB2312" w:cs="仿宋_GB2312"/>
          <w:color w:val="auto"/>
          <w:spacing w:val="3"/>
          <w:sz w:val="32"/>
          <w:szCs w:val="32"/>
          <w:highlight w:val="none"/>
          <w:u w:val="none"/>
          <w:lang w:val="en-US" w:eastAsia="zh-CN"/>
        </w:rPr>
        <w:t>（牵头单位：市人力资源社会保障局，责任单位：市财政局）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right="0" w:firstLine="652" w:firstLineChars="200"/>
        <w:jc w:val="both"/>
        <w:textAlignment w:val="baseline"/>
        <w:rPr>
          <w:rFonts w:hint="eastAsia" w:ascii="仿宋_GB2312" w:hAnsi="仿宋_GB2312" w:eastAsia="仿宋_GB2312" w:cs="仿宋_GB2312"/>
          <w:color w:val="auto"/>
          <w:spacing w:val="3"/>
          <w:sz w:val="32"/>
          <w:szCs w:val="32"/>
          <w:highlight w:val="none"/>
          <w:u w:val="none"/>
          <w:lang w:val="en-US" w:eastAsia="zh-CN"/>
        </w:rPr>
      </w:pPr>
      <w:r>
        <w:rPr>
          <w:rFonts w:hint="eastAsia" w:ascii="楷体_GB2312" w:hAnsi="楷体_GB2312" w:eastAsia="楷体_GB2312" w:cs="楷体_GB2312"/>
          <w:color w:val="auto"/>
          <w:spacing w:val="3"/>
          <w:sz w:val="32"/>
          <w:szCs w:val="32"/>
          <w:highlight w:val="none"/>
          <w:u w:val="none"/>
          <w:lang w:val="en-US" w:eastAsia="zh-CN"/>
        </w:rPr>
        <w:t>（十二）健全完善技能评价体系。</w:t>
      </w:r>
      <w:r>
        <w:rPr>
          <w:rFonts w:hint="eastAsia" w:ascii="仿宋_GB2312" w:hAnsi="仿宋_GB2312" w:eastAsia="仿宋_GB2312" w:cs="仿宋_GB2312"/>
          <w:color w:val="auto"/>
          <w:spacing w:val="3"/>
          <w:sz w:val="32"/>
          <w:szCs w:val="32"/>
          <w:highlight w:val="none"/>
          <w:u w:val="none"/>
          <w:lang w:val="en-US" w:eastAsia="zh-CN"/>
        </w:rPr>
        <w:t>鼓励技工院校基于工学一体化技能人才培养模式改革，探索推广过程考核与结果考核相结合的评价体系，支持技工院校建设智能化考核平台和职业技能等级认定题库，提高职业技能评级评价信息化水平。（责任单位：市人力资源社会保障局）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right="0" w:firstLine="652" w:firstLineChars="200"/>
        <w:jc w:val="both"/>
        <w:textAlignment w:val="baseline"/>
        <w:rPr>
          <w:rFonts w:hint="eastAsia" w:ascii="黑体" w:hAnsi="黑体" w:eastAsia="黑体" w:cs="黑体"/>
          <w:color w:val="auto"/>
          <w:spacing w:val="3"/>
          <w:sz w:val="32"/>
          <w:szCs w:val="32"/>
          <w:highlight w:val="none"/>
          <w:u w:val="none"/>
          <w:lang w:val="en-US" w:eastAsia="zh-CN"/>
        </w:rPr>
      </w:pPr>
      <w:r>
        <w:rPr>
          <w:rFonts w:hint="eastAsia" w:ascii="黑体" w:hAnsi="黑体" w:eastAsia="黑体" w:cs="黑体"/>
          <w:color w:val="auto"/>
          <w:spacing w:val="3"/>
          <w:sz w:val="32"/>
          <w:szCs w:val="32"/>
          <w:highlight w:val="none"/>
          <w:u w:val="none"/>
          <w:lang w:val="en-US" w:eastAsia="zh-CN"/>
        </w:rPr>
        <w:t>五、凝聚技工教育高质量特色发展的工作合力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right="0" w:firstLine="652" w:firstLineChars="200"/>
        <w:jc w:val="both"/>
        <w:textAlignment w:val="baseline"/>
        <w:rPr>
          <w:rFonts w:hint="eastAsia" w:ascii="仿宋_GB2312" w:hAnsi="仿宋_GB2312" w:eastAsia="仿宋_GB2312" w:cs="仿宋_GB2312"/>
          <w:color w:val="auto"/>
          <w:spacing w:val="3"/>
          <w:sz w:val="32"/>
          <w:szCs w:val="32"/>
          <w:highlight w:val="none"/>
          <w:u w:val="none"/>
          <w:lang w:val="en-US" w:eastAsia="zh-CN"/>
        </w:rPr>
      </w:pPr>
      <w:r>
        <w:rPr>
          <w:rFonts w:hint="eastAsia" w:ascii="楷体_GB2312" w:hAnsi="楷体_GB2312" w:eastAsia="楷体_GB2312" w:cs="楷体_GB2312"/>
          <w:color w:val="auto"/>
          <w:spacing w:val="3"/>
          <w:sz w:val="32"/>
          <w:szCs w:val="32"/>
          <w:highlight w:val="none"/>
          <w:u w:val="none"/>
          <w:lang w:val="en-US" w:eastAsia="zh-CN"/>
        </w:rPr>
        <w:t>（十三）加大政策支持力度。</w:t>
      </w:r>
      <w:r>
        <w:rPr>
          <w:rFonts w:hint="eastAsia" w:ascii="仿宋_GB2312" w:hAnsi="仿宋_GB2312" w:eastAsia="仿宋_GB2312" w:cs="仿宋_GB2312"/>
          <w:color w:val="auto"/>
          <w:spacing w:val="3"/>
          <w:sz w:val="32"/>
          <w:szCs w:val="32"/>
          <w:highlight w:val="none"/>
          <w:u w:val="none"/>
          <w:lang w:val="en-US" w:eastAsia="zh-CN"/>
        </w:rPr>
        <w:t>加强部门间协调配合，密切与行业企业联系，积极争取各方支持，共同推进技工教育改革发展。发挥人力资源社会保障职能优势，统筹就业、人才、社保、培训各领域政策、项目、资金资源，对技工教育发展给予支持保障。全面落实生均拨款制度。建立政府、企业、社会多元投入机制和高技能人才队伍建设资金保障机制，统筹利用现有资金渠道，支持高技能人才工作。将技工教育作为对县级人民政府履行教育职责评价的重要内容。</w:t>
      </w:r>
      <w:r>
        <w:rPr>
          <w:rFonts w:eastAsia="仿宋_GB2312"/>
          <w:color w:val="auto"/>
          <w:sz w:val="32"/>
          <w:szCs w:val="32"/>
          <w:highlight w:val="none"/>
          <w:u w:val="none"/>
          <w:shd w:val="clear" w:color="auto" w:fill="FFFFFF"/>
        </w:rPr>
        <w:t>成立威海市促进技工教育集团（联盟）发展领导小组，协调推进技工教育改革发展。按规定发挥好人才专项经费等各类资金作用，支持技工教育集团（联盟）发展。</w:t>
      </w:r>
      <w:r>
        <w:rPr>
          <w:rFonts w:hint="eastAsia" w:ascii="仿宋_GB2312" w:hAnsi="仿宋_GB2312" w:eastAsia="仿宋_GB2312" w:cs="仿宋_GB2312"/>
          <w:color w:val="auto"/>
          <w:spacing w:val="3"/>
          <w:sz w:val="32"/>
          <w:szCs w:val="32"/>
          <w:highlight w:val="none"/>
          <w:u w:val="none"/>
          <w:lang w:val="en-US" w:eastAsia="zh-CN"/>
        </w:rPr>
        <w:t>（牵头单位：市人力资源社会保障局，责任单位：市教育局、市财政局）</w:t>
      </w:r>
    </w:p>
    <w:p>
      <w:pPr>
        <w:pStyle w:val="6"/>
        <w:spacing w:before="0" w:beforeAutospacing="0" w:after="0" w:afterAutospacing="0" w:line="560" w:lineRule="exact"/>
        <w:ind w:firstLine="652" w:firstLineChars="200"/>
        <w:jc w:val="both"/>
        <w:rPr>
          <w:rFonts w:hint="eastAsia" w:ascii="仿宋_GB2312" w:hAnsi="仿宋_GB2312" w:eastAsia="仿宋_GB2312" w:cs="仿宋_GB2312"/>
          <w:color w:val="auto"/>
          <w:spacing w:val="3"/>
          <w:sz w:val="32"/>
          <w:szCs w:val="32"/>
          <w:highlight w:val="none"/>
          <w:u w:val="none"/>
          <w:lang w:val="en-US" w:eastAsia="zh-CN"/>
        </w:rPr>
      </w:pPr>
      <w:r>
        <w:rPr>
          <w:rFonts w:hint="eastAsia" w:ascii="楷体_GB2312" w:hAnsi="楷体_GB2312" w:eastAsia="楷体_GB2312" w:cs="楷体_GB2312"/>
          <w:snapToGrid w:val="0"/>
          <w:color w:val="auto"/>
          <w:spacing w:val="3"/>
          <w:kern w:val="0"/>
          <w:sz w:val="32"/>
          <w:szCs w:val="32"/>
          <w:highlight w:val="none"/>
          <w:u w:val="none"/>
          <w:lang w:val="en-US" w:eastAsia="zh-CN" w:bidi="ar-SA"/>
        </w:rPr>
        <w:t>（十四）推进技工院校和职业院校融合发展。</w:t>
      </w:r>
      <w:r>
        <w:rPr>
          <w:rFonts w:hint="eastAsia" w:ascii="仿宋_GB2312" w:hAnsi="仿宋_GB2312" w:eastAsia="仿宋_GB2312" w:cs="仿宋_GB2312"/>
          <w:color w:val="auto"/>
          <w:spacing w:val="3"/>
          <w:sz w:val="32"/>
          <w:szCs w:val="32"/>
          <w:highlight w:val="none"/>
          <w:u w:val="none"/>
          <w:lang w:val="en-US" w:eastAsia="zh-CN"/>
        </w:rPr>
        <w:t>继续将技工教育纳入职业教育政策支持体系。支持技师学院与高等院校开展“高职+高级工（技师）”全日制学生培养，双方共同参与学生人才培养方案制定、课程开发、学费和生均拨款分配，完成规定学分课程和考核的学生，可取得</w:t>
      </w:r>
      <w:r>
        <w:rPr>
          <w:rFonts w:hint="eastAsia" w:ascii="仿宋_GB2312" w:hAnsi="仿宋_GB2312" w:eastAsia="仿宋_GB2312" w:cs="仿宋_GB2312"/>
          <w:i w:val="0"/>
          <w:iCs w:val="0"/>
          <w:color w:val="auto"/>
          <w:spacing w:val="3"/>
          <w:sz w:val="32"/>
          <w:szCs w:val="32"/>
          <w:highlight w:val="none"/>
          <w:u w:val="none"/>
          <w:lang w:val="en-US" w:eastAsia="zh-CN"/>
        </w:rPr>
        <w:t>相应层次学校毕业证和职业技能等级证书。实施技工就业促进计划，争取大学生技师班试点，推行“学历+技能”复合型人才培养模式</w:t>
      </w:r>
      <w:r>
        <w:rPr>
          <w:rFonts w:hint="eastAsia" w:ascii="仿宋_GB2312" w:hAnsi="仿宋_GB2312" w:eastAsia="仿宋_GB2312" w:cs="仿宋_GB2312"/>
          <w:color w:val="auto"/>
          <w:spacing w:val="3"/>
          <w:sz w:val="32"/>
          <w:szCs w:val="32"/>
          <w:highlight w:val="none"/>
          <w:u w:val="none"/>
          <w:lang w:val="en-US" w:eastAsia="zh-CN"/>
        </w:rPr>
        <w:t>，以促进大学生通过技能提升实现高质量就业。将技工院校纳入教育系统荣誉体系、教科研项目、教学成果竞赛等。（牵头单位：市人力资源社会保障局，责任单位：市教育局）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right="0" w:firstLine="652" w:firstLineChars="200"/>
        <w:jc w:val="both"/>
        <w:textAlignment w:val="baseline"/>
        <w:rPr>
          <w:rFonts w:hint="eastAsia" w:ascii="仿宋_GB2312" w:hAnsi="仿宋_GB2312" w:eastAsia="仿宋_GB2312" w:cs="仿宋_GB2312"/>
          <w:color w:val="auto"/>
          <w:spacing w:val="3"/>
          <w:sz w:val="32"/>
          <w:szCs w:val="32"/>
          <w:highlight w:val="none"/>
          <w:u w:val="none"/>
          <w:lang w:val="en-US" w:eastAsia="zh-CN"/>
        </w:rPr>
      </w:pPr>
      <w:r>
        <w:rPr>
          <w:rFonts w:hint="eastAsia" w:ascii="楷体_GB2312" w:hAnsi="楷体_GB2312" w:eastAsia="楷体_GB2312" w:cs="楷体_GB2312"/>
          <w:color w:val="auto"/>
          <w:spacing w:val="3"/>
          <w:sz w:val="32"/>
          <w:szCs w:val="32"/>
          <w:highlight w:val="none"/>
          <w:u w:val="none"/>
          <w:lang w:val="en-US" w:eastAsia="zh-CN"/>
        </w:rPr>
        <w:t>（十五）营造良好发展环境。</w:t>
      </w:r>
      <w:r>
        <w:rPr>
          <w:rFonts w:hint="eastAsia" w:ascii="仿宋_GB2312" w:hAnsi="仿宋_GB2312" w:eastAsia="仿宋_GB2312" w:cs="仿宋_GB2312"/>
          <w:color w:val="auto"/>
          <w:spacing w:val="3"/>
          <w:sz w:val="32"/>
          <w:szCs w:val="32"/>
          <w:highlight w:val="none"/>
          <w:u w:val="none"/>
          <w:lang w:val="en-US" w:eastAsia="zh-CN"/>
        </w:rPr>
        <w:t>落实技工院校在人事管理、收入分配、校企合作、教师招聘、专业设置等方面的办学自主权。组织开展各类职业技能竞赛，激发全社会关注技能、学习技能、崇尚技能的热情。定期组织开展职业教育活动周、世界青年技能日、劳模工匠进校园、开学第一课等宣传活动，加大主流媒体、新媒体对技工教育的宣传力度，增强广大青年技能就业、技能成才的社会荣誉感，营造关心支持技工教育发展的良好氛围。（牵头单位：市人力资源社会保障局，责任单位：市教育局、市总工会）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right="0" w:firstLine="652" w:firstLineChars="200"/>
        <w:jc w:val="both"/>
        <w:textAlignment w:val="baseline"/>
        <w:rPr>
          <w:rFonts w:hint="default" w:ascii="仿宋_GB2312" w:hAnsi="仿宋_GB2312" w:eastAsia="仿宋_GB2312" w:cs="仿宋_GB2312"/>
          <w:color w:val="auto"/>
          <w:spacing w:val="3"/>
          <w:sz w:val="32"/>
          <w:szCs w:val="32"/>
          <w:highlight w:val="none"/>
          <w:u w:val="none"/>
          <w:lang w:val="en-US" w:eastAsia="zh-CN"/>
        </w:rPr>
      </w:pPr>
    </w:p>
    <w:sectPr>
      <w:footerReference r:id="rId5" w:type="default"/>
      <w:pgSz w:w="11900" w:h="16830"/>
      <w:pgMar w:top="2098" w:right="1474" w:bottom="1984" w:left="1587" w:header="567" w:footer="850" w:gutter="0"/>
      <w:pgNumType w:fmt="decimal"/>
      <w:cols w:space="0" w:num="1"/>
      <w:rtlGutter w:val="0"/>
      <w:docGrid w:linePitch="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4" w:lineRule="auto"/>
      <w:rPr>
        <w:rFonts w:ascii="Arial"/>
        <w:sz w:val="2"/>
      </w:rPr>
    </w:pPr>
    <w:r>
      <w:rPr>
        <w:sz w:val="2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right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4"/>
                            <w:rPr>
                              <w:sz w:val="28"/>
                              <w:szCs w:val="36"/>
                            </w:rPr>
                          </w:pPr>
                          <w:r>
                            <w:rPr>
                              <w:sz w:val="28"/>
                              <w:szCs w:val="36"/>
                            </w:rPr>
                            <w:t xml:space="preserve">— </w:t>
                          </w:r>
                          <w:r>
                            <w:rPr>
                              <w:sz w:val="28"/>
                              <w:szCs w:val="36"/>
                            </w:rPr>
                            <w:fldChar w:fldCharType="begin"/>
                          </w:r>
                          <w:r>
                            <w:rPr>
                              <w:sz w:val="28"/>
                              <w:szCs w:val="36"/>
                            </w:rPr>
                            <w:instrText xml:space="preserve"> PAGE  \* MERGEFORMAT </w:instrText>
                          </w:r>
                          <w:r>
                            <w:rPr>
                              <w:sz w:val="28"/>
                              <w:szCs w:val="36"/>
                            </w:rPr>
                            <w:fldChar w:fldCharType="separate"/>
                          </w:r>
                          <w:r>
                            <w:rPr>
                              <w:sz w:val="28"/>
                              <w:szCs w:val="36"/>
                            </w:rPr>
                            <w:t>1</w:t>
                          </w:r>
                          <w:r>
                            <w:rPr>
                              <w:sz w:val="28"/>
                              <w:szCs w:val="36"/>
                            </w:rPr>
                            <w:fldChar w:fldCharType="end"/>
                          </w:r>
                          <w:r>
                            <w:rPr>
                              <w:sz w:val="28"/>
                              <w:szCs w:val="36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upright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right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  <w:rPr>
                        <w:sz w:val="28"/>
                        <w:szCs w:val="36"/>
                      </w:rPr>
                    </w:pPr>
                    <w:r>
                      <w:rPr>
                        <w:sz w:val="28"/>
                        <w:szCs w:val="36"/>
                      </w:rPr>
                      <w:t xml:space="preserve">— </w:t>
                    </w:r>
                    <w:r>
                      <w:rPr>
                        <w:sz w:val="28"/>
                        <w:szCs w:val="36"/>
                      </w:rPr>
                      <w:fldChar w:fldCharType="begin"/>
                    </w:r>
                    <w:r>
                      <w:rPr>
                        <w:sz w:val="28"/>
                        <w:szCs w:val="36"/>
                      </w:rPr>
                      <w:instrText xml:space="preserve"> PAGE  \* MERGEFORMAT </w:instrText>
                    </w:r>
                    <w:r>
                      <w:rPr>
                        <w:sz w:val="28"/>
                        <w:szCs w:val="36"/>
                      </w:rPr>
                      <w:fldChar w:fldCharType="separate"/>
                    </w:r>
                    <w:r>
                      <w:rPr>
                        <w:sz w:val="28"/>
                        <w:szCs w:val="36"/>
                      </w:rPr>
                      <w:t>1</w:t>
                    </w:r>
                    <w:r>
                      <w:rPr>
                        <w:sz w:val="28"/>
                        <w:szCs w:val="36"/>
                      </w:rPr>
                      <w:fldChar w:fldCharType="end"/>
                    </w:r>
                    <w:r>
                      <w:rPr>
                        <w:sz w:val="28"/>
                        <w:szCs w:val="36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1"/>
  <w:displayBackgroundShape w:val="true"/>
  <w:bordersDoNotSurroundHeader w:val="false"/>
  <w:bordersDoNotSurroundFooter w:val="false"/>
  <w:documentProtection w:enforcement="0"/>
  <w:displayHorizontalDrawingGridEvery w:val="1"/>
  <w:displayVerticalDrawingGridEvery w:val="1"/>
  <w:noPunctuationKerning w:val="true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doNotExpandShiftReturn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</w:compat>
  <w:rsids>
    <w:rsidRoot w:val="00000000"/>
    <w:rsid w:val="024970F7"/>
    <w:rsid w:val="07971999"/>
    <w:rsid w:val="0BBF5D66"/>
    <w:rsid w:val="10F115D3"/>
    <w:rsid w:val="111D4E0E"/>
    <w:rsid w:val="155429FA"/>
    <w:rsid w:val="15B4D7FA"/>
    <w:rsid w:val="1B9F4C3A"/>
    <w:rsid w:val="1D1E13F0"/>
    <w:rsid w:val="1FBDDA65"/>
    <w:rsid w:val="20F14BC7"/>
    <w:rsid w:val="247A6014"/>
    <w:rsid w:val="27FF6B33"/>
    <w:rsid w:val="289E1837"/>
    <w:rsid w:val="2B6A64AB"/>
    <w:rsid w:val="33040454"/>
    <w:rsid w:val="3645478B"/>
    <w:rsid w:val="371BEC0C"/>
    <w:rsid w:val="37DBACBF"/>
    <w:rsid w:val="37E24836"/>
    <w:rsid w:val="37FD94E5"/>
    <w:rsid w:val="3BFC9D71"/>
    <w:rsid w:val="3D1A8115"/>
    <w:rsid w:val="3DCAF283"/>
    <w:rsid w:val="3DEF458E"/>
    <w:rsid w:val="3FADFCFF"/>
    <w:rsid w:val="3FB7102B"/>
    <w:rsid w:val="3FBE9F4E"/>
    <w:rsid w:val="43BB4C1B"/>
    <w:rsid w:val="483B3E42"/>
    <w:rsid w:val="48435459"/>
    <w:rsid w:val="4E5E073F"/>
    <w:rsid w:val="5184720E"/>
    <w:rsid w:val="542447E7"/>
    <w:rsid w:val="547A0659"/>
    <w:rsid w:val="57BF8586"/>
    <w:rsid w:val="5AB607D7"/>
    <w:rsid w:val="5BB7A213"/>
    <w:rsid w:val="5BEDF697"/>
    <w:rsid w:val="5F578FB7"/>
    <w:rsid w:val="5F7EB8A1"/>
    <w:rsid w:val="65EF7B20"/>
    <w:rsid w:val="66EC3434"/>
    <w:rsid w:val="6777982F"/>
    <w:rsid w:val="67B850C4"/>
    <w:rsid w:val="67F5FBEE"/>
    <w:rsid w:val="67FE7282"/>
    <w:rsid w:val="69674FF3"/>
    <w:rsid w:val="69DE40A5"/>
    <w:rsid w:val="6BF2FC40"/>
    <w:rsid w:val="6EA774A3"/>
    <w:rsid w:val="6FD76E31"/>
    <w:rsid w:val="762270B5"/>
    <w:rsid w:val="77F7EA19"/>
    <w:rsid w:val="78DD460B"/>
    <w:rsid w:val="79A9DC29"/>
    <w:rsid w:val="7B5F5B10"/>
    <w:rsid w:val="7BBF888D"/>
    <w:rsid w:val="7C4FEB37"/>
    <w:rsid w:val="7DCF286D"/>
    <w:rsid w:val="7F4F52BF"/>
    <w:rsid w:val="7F5A1DD2"/>
    <w:rsid w:val="7F6C76E3"/>
    <w:rsid w:val="7F7E692D"/>
    <w:rsid w:val="7FAFC067"/>
    <w:rsid w:val="7FC7C8D3"/>
    <w:rsid w:val="7FD69217"/>
    <w:rsid w:val="7FD6FC72"/>
    <w:rsid w:val="7FF11835"/>
    <w:rsid w:val="7FF24CDD"/>
    <w:rsid w:val="7FF351CA"/>
    <w:rsid w:val="7FFFC3DC"/>
    <w:rsid w:val="7FFFEE10"/>
    <w:rsid w:val="9D7D36F4"/>
    <w:rsid w:val="A8F22777"/>
    <w:rsid w:val="AAFA88AC"/>
    <w:rsid w:val="ADEDEB95"/>
    <w:rsid w:val="AEFBADB7"/>
    <w:rsid w:val="B37AEF7D"/>
    <w:rsid w:val="B5EF3175"/>
    <w:rsid w:val="BF3797E7"/>
    <w:rsid w:val="BFDF4C8D"/>
    <w:rsid w:val="BFF29733"/>
    <w:rsid w:val="BFFF7DB4"/>
    <w:rsid w:val="C3FFA0A8"/>
    <w:rsid w:val="D7EC31BC"/>
    <w:rsid w:val="DBBE8B99"/>
    <w:rsid w:val="DEF29BAC"/>
    <w:rsid w:val="DEFF46F4"/>
    <w:rsid w:val="DF3B8E14"/>
    <w:rsid w:val="DFF6D934"/>
    <w:rsid w:val="DFFB3A1C"/>
    <w:rsid w:val="E59EF0FB"/>
    <w:rsid w:val="EA362E91"/>
    <w:rsid w:val="EDAFD1E4"/>
    <w:rsid w:val="EEFEC53F"/>
    <w:rsid w:val="F35FB433"/>
    <w:rsid w:val="F4AFA395"/>
    <w:rsid w:val="F6F6FAB7"/>
    <w:rsid w:val="F8FDEF3D"/>
    <w:rsid w:val="F9EE8721"/>
    <w:rsid w:val="FB6FBDD9"/>
    <w:rsid w:val="FB7D2B54"/>
    <w:rsid w:val="FBF7BAD8"/>
    <w:rsid w:val="FBFE52CF"/>
    <w:rsid w:val="FBFF1150"/>
    <w:rsid w:val="FDAD860E"/>
    <w:rsid w:val="FDED770E"/>
    <w:rsid w:val="FDEF64C7"/>
    <w:rsid w:val="FEF660AA"/>
    <w:rsid w:val="FF3855E0"/>
    <w:rsid w:val="FF4B83AB"/>
    <w:rsid w:val="FF7F4DD7"/>
    <w:rsid w:val="FFCF9878"/>
    <w:rsid w:val="FFE7593D"/>
    <w:rsid w:val="FFF7131E"/>
    <w:rsid w:val="FFF983D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nhideWhenUsed="0" w:uiPriority="9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paragraph" w:styleId="2">
    <w:name w:val="heading 3"/>
    <w:basedOn w:val="1"/>
    <w:next w:val="1"/>
    <w:qFormat/>
    <w:uiPriority w:val="9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semiHidden/>
    <w:qFormat/>
    <w:uiPriority w:val="0"/>
    <w:rPr>
      <w:rFonts w:ascii="宋体" w:hAnsi="宋体" w:eastAsia="宋体" w:cs="宋体"/>
      <w:sz w:val="52"/>
      <w:szCs w:val="52"/>
      <w:lang w:val="en-US" w:eastAsia="en-US" w:bidi="ar-SA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6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customStyle="1" w:styleId="9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11</Pages>
  <Words>5549</Words>
  <Characters>5617</Characters>
  <TotalTime>3</TotalTime>
  <ScaleCrop>false</ScaleCrop>
  <LinksUpToDate>false</LinksUpToDate>
  <CharactersWithSpaces>5617</CharactersWithSpaces>
  <Application>WPS Office_11.8.2.10386_F1E327BC-269C-435d-A152-05C5408002CA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2025-10-12T18:37:00Z</dcterms:created>
  <dc:creator>user</dc:creator>
  <cp:lastModifiedBy>user</cp:lastModifiedBy>
  <cp:lastPrinted>2025-11-02T19:32:00Z</cp:lastPrinted>
  <dcterms:modified xsi:type="dcterms:W3CDTF">2025-11-05T09:09:20Z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wqlLaW5nc29mdCBQREYgdG8gV1BTIDExMEI</vt:lpwstr>
  </property>
  <property fmtid="{D5CDD505-2E9C-101B-9397-08002B2CF9AE}" pid="3" name="Created">
    <vt:filetime>2025-10-09T10:37:40Z</vt:filetime>
  </property>
  <property fmtid="{D5CDD505-2E9C-101B-9397-08002B2CF9AE}" pid="4" name="UsrData">
    <vt:lpwstr>68e71fefb19986001f716490wl</vt:lpwstr>
  </property>
  <property fmtid="{D5CDD505-2E9C-101B-9397-08002B2CF9AE}" pid="5" name="KSOProductBuildVer">
    <vt:lpwstr>2052-11.8.2.10386</vt:lpwstr>
  </property>
  <property fmtid="{D5CDD505-2E9C-101B-9397-08002B2CF9AE}" pid="6" name="KSOTemplateDocerSaveRecord">
    <vt:lpwstr>eyJoZGlkIjoiZjU2YWU4ZWMwMWUyZWQ2MDI2MjlmNTk2YzhkYTY5MzEiLCJ1c2VySWQiOiIyMjQ0NzE2OCJ9</vt:lpwstr>
  </property>
  <property fmtid="{D5CDD505-2E9C-101B-9397-08002B2CF9AE}" pid="7" name="ICV">
    <vt:lpwstr>9499AFBCCAE4436E8BE043C24CE6CB6E_13</vt:lpwstr>
  </property>
</Properties>
</file>