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beforeAutospacing="0" w:afterAutospacing="0" w:line="360" w:lineRule="auto"/>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附件：</w:t>
      </w:r>
    </w:p>
    <w:p>
      <w:pPr>
        <w:keepNext w:val="0"/>
        <w:keepLines w:val="0"/>
        <w:pageBreakBefore w:val="0"/>
        <w:kinsoku/>
        <w:wordWrap/>
        <w:overflowPunct/>
        <w:topLinePunct w:val="0"/>
        <w:autoSpaceDE/>
        <w:autoSpaceDN/>
        <w:bidi w:val="0"/>
        <w:adjustRightInd w:val="0"/>
        <w:snapToGrid w:val="0"/>
        <w:spacing w:beforeAutospacing="0" w:afterAutospacing="0" w:line="360" w:lineRule="auto"/>
        <w:jc w:val="center"/>
        <w:textAlignment w:val="auto"/>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t>调查问卷</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1、我市用人单位劳动保障守法诚信等级评价分为（）个等级？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left="300" w:right="0" w:firstLine="320" w:firstLineChars="1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A、3    B、4    C、5    D、6</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2、以下哪种情形，用人单位劳动保障守法诚信等级为C级</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因劳动保障违法行为被查处三次以上（含三次）的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因劳动保障违法行为引发群体性事件、极端事件或造成严重不良社会影响的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因使用童工、强迫劳动等严重劳动保障违法行为被查处的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拒不履行劳动保障监察限期整改指令、行政处理决定或者行政处罚决定的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无理抗拒、阻挠人力资源社会保障部门实施劳动保障监察，或打击报复监察执法人员、证人、举报投诉人的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因劳动保障违法行为被追究刑事责任的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3、通过威海市人力资源和社会保障局门户网站是否可以查询到参评企业名单及诚信等级评结果？</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A、可以查询到    B、查询不到</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4、在公示期内，</w:t>
      </w:r>
      <w:r>
        <w:rPr>
          <w:rFonts w:hint="eastAsia" w:ascii="仿宋_GB2312" w:hAnsi="仿宋_GB2312" w:eastAsia="仿宋_GB2312" w:cs="仿宋_GB2312"/>
          <w:color w:val="auto"/>
          <w:kern w:val="0"/>
          <w:sz w:val="32"/>
          <w:szCs w:val="32"/>
        </w:rPr>
        <w:t>用人单位对守法诚信等级评价结果有异议的，</w:t>
      </w:r>
      <w:r>
        <w:rPr>
          <w:rFonts w:hint="eastAsia" w:ascii="仿宋_GB2312" w:hAnsi="仿宋_GB2312" w:eastAsia="仿宋_GB2312" w:cs="仿宋_GB2312"/>
          <w:color w:val="auto"/>
          <w:kern w:val="0"/>
          <w:sz w:val="32"/>
          <w:szCs w:val="32"/>
          <w:lang w:eastAsia="zh-CN"/>
        </w:rPr>
        <w:t>是否可以</w:t>
      </w:r>
      <w:r>
        <w:rPr>
          <w:rFonts w:hint="eastAsia" w:ascii="仿宋_GB2312" w:hAnsi="仿宋_GB2312" w:eastAsia="仿宋_GB2312" w:cs="仿宋_GB2312"/>
          <w:color w:val="auto"/>
          <w:kern w:val="0"/>
          <w:sz w:val="32"/>
          <w:szCs w:val="32"/>
        </w:rPr>
        <w:t>向作出评价的人力资源社会保障部门提出书面复核申请</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w:t>
      </w:r>
      <w:r>
        <w:rPr>
          <w:rFonts w:hint="eastAsia" w:ascii="仿宋_GB2312" w:hAnsi="仿宋_GB2312" w:eastAsia="仿宋_GB2312" w:cs="仿宋_GB2312"/>
          <w:color w:val="auto"/>
          <w:kern w:val="0"/>
          <w:sz w:val="32"/>
          <w:szCs w:val="32"/>
        </w:rPr>
        <w:t>人力资源社会保障部门应当在15个工作日内进行复核，并将复核结果告知用人单位；经查实等级评价有误的，应当予以重新评价。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right="0" w:firstLine="640" w:firstLineChars="20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B、不可以</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5、</w:t>
      </w:r>
      <w:r>
        <w:rPr>
          <w:rFonts w:hint="eastAsia" w:ascii="仿宋_GB2312" w:eastAsia="仿宋_GB2312"/>
          <w:sz w:val="32"/>
          <w:szCs w:val="32"/>
        </w:rPr>
        <w:t>人力资源社会保障部门应当将守法诚信等级评价结果作为用人单位</w:t>
      </w:r>
      <w:r>
        <w:rPr>
          <w:rFonts w:hint="eastAsia" w:ascii="仿宋_GB2312" w:hAnsi="仿宋_GB2312" w:eastAsia="仿宋_GB2312" w:cs="仿宋_GB2312"/>
          <w:i w:val="0"/>
          <w:caps w:val="0"/>
          <w:color w:val="auto"/>
          <w:spacing w:val="0"/>
          <w:kern w:val="0"/>
          <w:sz w:val="32"/>
          <w:szCs w:val="32"/>
          <w:shd w:val="clear" w:fill="FFFFFF"/>
          <w:lang w:val="en-US" w:eastAsia="zh-CN" w:bidi="ar"/>
        </w:rPr>
        <w:t>（）</w:t>
      </w:r>
      <w:r>
        <w:rPr>
          <w:rFonts w:hint="eastAsia" w:ascii="仿宋_GB2312" w:eastAsia="仿宋_GB2312"/>
          <w:sz w:val="32"/>
          <w:szCs w:val="32"/>
        </w:rPr>
        <w:t>、</w:t>
      </w:r>
      <w:r>
        <w:rPr>
          <w:rFonts w:hint="eastAsia" w:ascii="仿宋_GB2312" w:hAnsi="仿宋_GB2312" w:eastAsia="仿宋_GB2312" w:cs="仿宋_GB2312"/>
          <w:i w:val="0"/>
          <w:caps w:val="0"/>
          <w:color w:val="auto"/>
          <w:spacing w:val="0"/>
          <w:kern w:val="0"/>
          <w:sz w:val="32"/>
          <w:szCs w:val="32"/>
          <w:shd w:val="clear" w:fill="FFFFFF"/>
          <w:lang w:val="en-US" w:eastAsia="zh-CN" w:bidi="ar"/>
        </w:rPr>
        <w:t>（）</w:t>
      </w:r>
      <w:r>
        <w:rPr>
          <w:rFonts w:hint="eastAsia" w:ascii="仿宋_GB2312" w:eastAsia="仿宋_GB2312"/>
          <w:sz w:val="32"/>
          <w:szCs w:val="32"/>
        </w:rPr>
        <w:t>、</w:t>
      </w:r>
      <w:r>
        <w:rPr>
          <w:rFonts w:hint="eastAsia" w:ascii="仿宋_GB2312" w:hAnsi="仿宋_GB2312" w:eastAsia="仿宋_GB2312" w:cs="仿宋_GB2312"/>
          <w:i w:val="0"/>
          <w:caps w:val="0"/>
          <w:color w:val="auto"/>
          <w:spacing w:val="0"/>
          <w:kern w:val="0"/>
          <w:sz w:val="32"/>
          <w:szCs w:val="32"/>
          <w:shd w:val="clear" w:fill="FFFFFF"/>
          <w:lang w:val="en-US" w:eastAsia="zh-CN" w:bidi="ar"/>
        </w:rPr>
        <w:t>（）</w:t>
      </w:r>
      <w:r>
        <w:rPr>
          <w:rFonts w:hint="eastAsia" w:ascii="仿宋_GB2312" w:eastAsia="仿宋_GB2312"/>
          <w:sz w:val="32"/>
          <w:szCs w:val="32"/>
        </w:rPr>
        <w:t>、</w:t>
      </w:r>
      <w:r>
        <w:rPr>
          <w:rFonts w:hint="eastAsia" w:ascii="仿宋_GB2312" w:hAnsi="仿宋_GB2312" w:eastAsia="仿宋_GB2312" w:cs="仿宋_GB2312"/>
          <w:i w:val="0"/>
          <w:caps w:val="0"/>
          <w:color w:val="auto"/>
          <w:spacing w:val="0"/>
          <w:kern w:val="0"/>
          <w:sz w:val="32"/>
          <w:szCs w:val="32"/>
          <w:shd w:val="clear" w:fill="FFFFFF"/>
          <w:lang w:val="en-US" w:eastAsia="zh-CN" w:bidi="ar"/>
        </w:rPr>
        <w:t>（）</w:t>
      </w:r>
      <w:bookmarkStart w:id="0" w:name="_GoBack"/>
      <w:bookmarkEnd w:id="0"/>
      <w:r>
        <w:rPr>
          <w:rFonts w:hint="eastAsia" w:ascii="仿宋_GB2312" w:eastAsia="仿宋_GB2312"/>
          <w:sz w:val="32"/>
          <w:szCs w:val="32"/>
        </w:rPr>
        <w:t>、和谐劳动关系用人单位评选等劳动保障守法情况审查的重要依据，据实出具相关证明。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left="300" w:right="0" w:firstLine="320" w:firstLineChars="100"/>
        <w:jc w:val="left"/>
        <w:textAlignment w:val="auto"/>
        <w:rPr>
          <w:rFonts w:hint="eastAsia" w:ascii="仿宋_GB2312" w:hAnsi="仿宋_GB2312" w:eastAsia="仿宋_GB2312" w:cs="仿宋_GB2312"/>
          <w:i w:val="0"/>
          <w:caps w:val="0"/>
          <w:color w:val="auto"/>
          <w:spacing w:val="0"/>
          <w:sz w:val="32"/>
          <w:szCs w:val="32"/>
          <w:lang w:val="en-US"/>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w:t>
      </w:r>
      <w:r>
        <w:rPr>
          <w:rFonts w:hint="eastAsia" w:ascii="仿宋_GB2312" w:eastAsia="仿宋_GB2312"/>
          <w:sz w:val="32"/>
          <w:szCs w:val="32"/>
        </w:rPr>
        <w:t>评优评先</w:t>
      </w:r>
      <w:r>
        <w:rPr>
          <w:rFonts w:hint="eastAsia" w:ascii="仿宋_GB2312" w:hAnsi="仿宋_GB2312" w:eastAsia="仿宋_GB2312" w:cs="仿宋_GB2312"/>
          <w:i w:val="0"/>
          <w:caps w:val="0"/>
          <w:color w:val="auto"/>
          <w:spacing w:val="0"/>
          <w:kern w:val="0"/>
          <w:sz w:val="32"/>
          <w:szCs w:val="32"/>
          <w:shd w:val="clear" w:fill="FFFFFF"/>
          <w:lang w:val="en-US" w:eastAsia="zh-CN" w:bidi="ar"/>
        </w:rPr>
        <w:t xml:space="preserve">  B、</w:t>
      </w:r>
      <w:r>
        <w:rPr>
          <w:rFonts w:hint="eastAsia" w:ascii="仿宋_GB2312" w:eastAsia="仿宋_GB2312"/>
          <w:sz w:val="32"/>
          <w:szCs w:val="32"/>
        </w:rPr>
        <w:t>评选劳模</w:t>
      </w:r>
      <w:r>
        <w:rPr>
          <w:rFonts w:hint="eastAsia" w:ascii="仿宋_GB2312" w:hAnsi="仿宋_GB2312" w:eastAsia="仿宋_GB2312" w:cs="仿宋_GB2312"/>
          <w:i w:val="0"/>
          <w:caps w:val="0"/>
          <w:color w:val="auto"/>
          <w:spacing w:val="0"/>
          <w:kern w:val="0"/>
          <w:sz w:val="32"/>
          <w:szCs w:val="32"/>
          <w:shd w:val="clear" w:fill="FFFFFF"/>
          <w:lang w:val="en-US" w:eastAsia="zh-CN" w:bidi="ar"/>
        </w:rPr>
        <w:t xml:space="preserve"> C、</w:t>
      </w:r>
      <w:r>
        <w:rPr>
          <w:rFonts w:hint="eastAsia" w:ascii="仿宋_GB2312" w:eastAsia="仿宋_GB2312"/>
          <w:sz w:val="32"/>
          <w:szCs w:val="32"/>
        </w:rPr>
        <w:t>招标</w:t>
      </w:r>
      <w:r>
        <w:rPr>
          <w:rFonts w:hint="eastAsia" w:ascii="仿宋_GB2312" w:hAnsi="仿宋_GB2312" w:eastAsia="仿宋_GB2312" w:cs="仿宋_GB2312"/>
          <w:i w:val="0"/>
          <w:caps w:val="0"/>
          <w:color w:val="auto"/>
          <w:spacing w:val="0"/>
          <w:kern w:val="0"/>
          <w:sz w:val="32"/>
          <w:szCs w:val="32"/>
          <w:shd w:val="clear" w:fill="FFFFFF"/>
          <w:lang w:val="en-US" w:eastAsia="zh-CN" w:bidi="ar"/>
        </w:rPr>
        <w:t xml:space="preserve">   D、</w:t>
      </w:r>
      <w:r>
        <w:rPr>
          <w:rFonts w:hint="eastAsia" w:ascii="仿宋_GB2312" w:eastAsia="仿宋_GB2312"/>
          <w:sz w:val="32"/>
          <w:szCs w:val="32"/>
        </w:rPr>
        <w:t>公司上市</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对于上年度被评为A级的用人单位，劳动保障监察机构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除特殊专项检查、举报投诉专查等情况外，免于当年日常巡视检查和一般情况下的专项检查</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当年劳动保障书面审查作为非重点单位，实行网上申报，免于抽检</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参加用人单位评优评先、评选劳模、和谐劳动关系等评比表彰活动及招标、公司上市等诚信评价进行劳动保障审核时予以通过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对于上年度被评为B级的用人单位，劳动保障监察机构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当年内日常巡视检查不超过1次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免于当年一般情况下的专项检查</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重点加强日常政策的辅导和咨询，帮助改进其劳动用工管理，提升诚信等级</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参加用人单位评优评先、评选劳模、和谐劳动关系等评比表彰活动及招标、公司上市等诚信评价进行劳动保障审核时，按劳动保障书面审查标准进行审核合格后予以通过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对于上年度被评为C级的用人单位，劳动保障监察机构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对其违反劳动保障法律、法规和规章的情况依法予以处理，责令限期改正</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当年内日常巡视检查一般不少于2次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列为劳动保障监察重点对象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定期对用人单位负责人及其人力资源部门负责人进行劳动保障法律知识培训，提升守法意识</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参加用人单位评优评先、评选劳模、和谐劳动关系等评比表彰活动及招标、公司上市等诚信评价进行劳动保障审核时不予通过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人力资源社会保障部门应当对其主要负责人、直接责任人进行约谈，敦促其遵守劳动保障法律、法规和规章</w:t>
      </w:r>
    </w:p>
    <w:p>
      <w:pPr>
        <w:keepNext w:val="0"/>
        <w:keepLines w:val="0"/>
        <w:pageBreakBefore w:val="0"/>
        <w:kinsoku/>
        <w:wordWrap/>
        <w:overflowPunct/>
        <w:topLinePunct w:val="0"/>
        <w:autoSpaceDE/>
        <w:autoSpaceDN/>
        <w:bidi w:val="0"/>
        <w:adjustRightInd w:val="0"/>
        <w:snapToGrid w:val="0"/>
        <w:spacing w:beforeAutospacing="0" w:afterAutospacing="0" w:line="36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请您对该制度提出宝贵</w:t>
      </w:r>
      <w:r>
        <w:rPr>
          <w:rFonts w:hint="eastAsia" w:ascii="仿宋_GB2312" w:hAnsi="仿宋_GB2312" w:eastAsia="仿宋_GB2312" w:cs="仿宋_GB2312"/>
          <w:color w:val="auto"/>
          <w:sz w:val="32"/>
          <w:szCs w:val="32"/>
          <w:lang w:eastAsia="zh-CN"/>
        </w:rPr>
        <w:t>意见及</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beforeAutospacing="0" w:afterAutospacing="0" w:line="360" w:lineRule="auto"/>
        <w:textAlignment w:val="auto"/>
      </w:pPr>
    </w:p>
    <w:sectPr>
      <w:pgSz w:w="11906" w:h="16838"/>
      <w:pgMar w:top="1440" w:right="1417"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54B4C"/>
    <w:rsid w:val="2CDB04C7"/>
    <w:rsid w:val="38F54B4C"/>
    <w:rsid w:val="570A72F7"/>
    <w:rsid w:val="589E2220"/>
    <w:rsid w:val="5BB7674D"/>
    <w:rsid w:val="623204D4"/>
    <w:rsid w:val="682862E5"/>
    <w:rsid w:val="7AB22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2021-10-09T05:35:00Z</dcterms:created>
  <dc:creator>Administrator</dc:creator>
  <cp:lastModifiedBy>TR</cp:lastModifiedBy>
  <cp:lastPrinted>2023-04-18T07:41:00Z</cp:lastPrinted>
  <dcterms:modified xsi:type="dcterms:W3CDTF">2024-01-10T07:18:46Z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