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A3D344F">
      <w:pPr>
        <w:spacing w:line="560" w:lineRule="exact"/>
        <w:rPr>
          <w:rFonts w:hint="eastAsia" w:ascii="黑体" w:hAnsi="黑体" w:eastAsia="黑体" w:cs="黑体"/>
        </w:rPr>
      </w:pPr>
      <w:bookmarkStart w:id="0" w:name="_GoBack"/>
      <w:bookmarkEnd w:id="0"/>
      <w:r>
        <w:rPr>
          <w:rFonts w:hint="eastAsia" w:ascii="黑体" w:hAnsi="黑体" w:eastAsia="黑体" w:cs="黑体"/>
        </w:rPr>
        <w:t>附件</w:t>
      </w:r>
    </w:p>
    <w:p w14:paraId="6E5ADF9F">
      <w:pPr>
        <w:spacing w:line="560" w:lineRule="exact"/>
        <w:rPr>
          <w:rFonts w:hint="eastAsia" w:ascii="黑体" w:hAnsi="黑体" w:eastAsia="黑体" w:cs="黑体"/>
        </w:rPr>
      </w:pPr>
    </w:p>
    <w:p w14:paraId="14836526">
      <w:pPr>
        <w:spacing w:line="560" w:lineRule="exact"/>
        <w:jc w:val="center"/>
        <w:rPr>
          <w:rFonts w:ascii="方正小标宋简体" w:hAnsi="长城小标宋体" w:eastAsia="方正小标宋简体" w:cs="长城小标宋体"/>
          <w:sz w:val="44"/>
          <w:szCs w:val="44"/>
        </w:rPr>
      </w:pPr>
      <w:r>
        <w:rPr>
          <w:rFonts w:hint="eastAsia" w:ascii="方正小标宋简体" w:hAnsi="长城小标宋体" w:eastAsia="方正小标宋简体" w:cs="长城小标宋体"/>
          <w:sz w:val="44"/>
          <w:szCs w:val="44"/>
        </w:rPr>
        <w:t>关于审计专业技术资格考试报名事项的说明</w:t>
      </w:r>
    </w:p>
    <w:p w14:paraId="5A5CF475">
      <w:pPr>
        <w:spacing w:line="540" w:lineRule="exact"/>
        <w:rPr>
          <w:rFonts w:hint="eastAsia" w:eastAsia="仿宋_GB2312"/>
        </w:rPr>
      </w:pPr>
    </w:p>
    <w:p w14:paraId="232FE056">
      <w:pPr>
        <w:adjustRightInd w:val="0"/>
        <w:snapToGrid w:val="0"/>
        <w:spacing w:line="540" w:lineRule="exact"/>
        <w:ind w:firstLine="632" w:firstLineChars="200"/>
        <w:rPr>
          <w:rFonts w:eastAsia="黑体"/>
        </w:rPr>
      </w:pPr>
      <w:r>
        <w:rPr>
          <w:rFonts w:eastAsia="黑体"/>
        </w:rPr>
        <w:t>一、初、中、高级资格考试报名条件</w:t>
      </w:r>
    </w:p>
    <w:p w14:paraId="68ECD3BF">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凡遵守中华人民共和国宪法和法律法规，具备良好的审计职业道德和敬业精神，符合初、中、高级审计专业技术资格考试报名条件的人员，即可报名参加相应级别的考试。</w:t>
      </w:r>
    </w:p>
    <w:p w14:paraId="0E815E06">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（一）具备国家教育部门认可的高中毕业（含高中、中专、职高、技校，下同）及以上学历，均可报名参加初级审计专业技术资格考试。</w:t>
      </w:r>
    </w:p>
    <w:p w14:paraId="0A61BAB6">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（二）具备下列条件之一者，可以报名参加中级审计专业技术资格考试：</w:t>
      </w:r>
    </w:p>
    <w:p w14:paraId="0464E464">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1．高中毕业，取得初级审计专业技术资格，从事审计相关工作满10年；</w:t>
      </w:r>
    </w:p>
    <w:p w14:paraId="7DF0BAA8">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2．具备大学专科学历，从事审计相关工作满5年；</w:t>
      </w:r>
    </w:p>
    <w:p w14:paraId="6709FC43">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3．具备大学本科学历或学士学位，从事审计相关工作满4年；</w:t>
      </w:r>
    </w:p>
    <w:p w14:paraId="45DF6E11">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4．具备双学士学位（包括第二学士学位），从事审计相关工作满2年；</w:t>
      </w:r>
    </w:p>
    <w:p w14:paraId="709335B8">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5．具备硕士学位或研究生学历，从事审计相关工作满1年；</w:t>
      </w:r>
    </w:p>
    <w:p w14:paraId="5E2FD26A">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6．具备博士学位。</w:t>
      </w:r>
    </w:p>
    <w:p w14:paraId="29B143C4">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（三）具备下列条件之一者，可以报名参加高级审计专业技术资格考试：</w:t>
      </w:r>
    </w:p>
    <w:p w14:paraId="277E4F79">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1．具备大学专科学历，取得中级审计专业技术资格后从事审计相关工作满6年；</w:t>
      </w:r>
    </w:p>
    <w:p w14:paraId="36A5A00A">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2．具备大学本科学历或学士学位，取得中级审计专业技术资格后从事审计相关工作满5年；</w:t>
      </w:r>
    </w:p>
    <w:p w14:paraId="10CCAFCC">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3．具备硕士学位或研究生学历，取得中级审计专业技术资格后从事审计相关工作满4年；</w:t>
      </w:r>
    </w:p>
    <w:p w14:paraId="0D9C9777">
      <w:pPr>
        <w:adjustRightInd w:val="0"/>
        <w:snapToGrid w:val="0"/>
        <w:spacing w:line="540" w:lineRule="exact"/>
        <w:ind w:firstLine="632" w:firstLineChars="200"/>
        <w:rPr>
          <w:rFonts w:hint="eastAsia" w:ascii="仿宋_GB2312" w:hAnsi="宋体" w:eastAsia="仿宋_GB2312"/>
        </w:rPr>
      </w:pPr>
      <w:r>
        <w:rPr>
          <w:rFonts w:hint="eastAsia" w:ascii="仿宋_GB2312" w:hAnsi="宋体" w:eastAsia="仿宋_GB2312"/>
        </w:rPr>
        <w:t>4．具备博士学位，取得中级审计专业技术资格后从事审计相关工作满2年。</w:t>
      </w:r>
    </w:p>
    <w:p w14:paraId="3AC5CD33">
      <w:pPr>
        <w:adjustRightInd w:val="0"/>
        <w:snapToGrid w:val="0"/>
        <w:spacing w:line="540" w:lineRule="exact"/>
        <w:ind w:firstLine="632" w:firstLineChars="200"/>
        <w:rPr>
          <w:rFonts w:hint="eastAsia" w:eastAsia="黑体"/>
        </w:rPr>
      </w:pPr>
      <w:r>
        <w:rPr>
          <w:rFonts w:hint="eastAsia" w:eastAsia="黑体"/>
        </w:rPr>
        <w:t>二、应届毕业生报名考试</w:t>
      </w:r>
    </w:p>
    <w:p w14:paraId="38272827">
      <w:pPr>
        <w:adjustRightInd w:val="0"/>
        <w:snapToGrid w:val="0"/>
        <w:spacing w:line="540" w:lineRule="exact"/>
        <w:ind w:firstLine="632" w:firstLineChars="200"/>
        <w:rPr>
          <w:rFonts w:hint="eastAsia" w:ascii="仿宋_GB2312" w:eastAsia="仿宋_GB2312"/>
        </w:rPr>
      </w:pPr>
      <w:r>
        <w:rPr>
          <w:rFonts w:hint="eastAsia" w:ascii="仿宋_GB2312" w:eastAsia="仿宋_GB2312"/>
        </w:rPr>
        <w:t>应届毕业生可以凭所在院校开具的应届毕业证明作为符合相应学历条件，报名参加当年度初、中、高级审计专业技术资格考试。考试合格人员领取证书时应补充提交学历学位证书信息等。</w:t>
      </w:r>
    </w:p>
    <w:p w14:paraId="6D362BBB">
      <w:pPr>
        <w:adjustRightInd w:val="0"/>
        <w:snapToGrid w:val="0"/>
        <w:spacing w:line="540" w:lineRule="exact"/>
        <w:ind w:firstLine="632" w:firstLineChars="200"/>
        <w:rPr>
          <w:rFonts w:hint="eastAsia" w:eastAsia="黑体"/>
        </w:rPr>
      </w:pPr>
      <w:r>
        <w:rPr>
          <w:rFonts w:hint="eastAsia" w:eastAsia="黑体"/>
        </w:rPr>
        <w:t>三、持单独划线职业资格证书报名考试</w:t>
      </w:r>
    </w:p>
    <w:p w14:paraId="5CF92E95">
      <w:pPr>
        <w:adjustRightInd w:val="0"/>
        <w:snapToGrid w:val="0"/>
        <w:spacing w:line="540" w:lineRule="exact"/>
        <w:ind w:firstLine="632" w:firstLineChars="200"/>
        <w:rPr>
          <w:rFonts w:hint="eastAsia" w:ascii="仿宋_GB2312" w:eastAsia="仿宋_GB2312"/>
        </w:rPr>
      </w:pPr>
      <w:r>
        <w:rPr>
          <w:rFonts w:hint="eastAsia" w:ascii="仿宋_GB2312" w:eastAsia="仿宋_GB2312"/>
        </w:rPr>
        <w:t>根据《关于单独划定部分专业技术人员职业资格考试合格标准有关事项的通知》（人社厅发〔2022〕25号）中“单独划线职业资格证书或成绩合格证明，在相应省（区、市）的单独划线地区有效”等规定，使用审计单独划线职业资格证书申报高一级审计职业资格考试的，只可在证书标注的有效区域所在的省（区、市）报名参加考试。</w:t>
      </w:r>
    </w:p>
    <w:p w14:paraId="0A09B330">
      <w:pPr>
        <w:adjustRightInd w:val="0"/>
        <w:snapToGrid w:val="0"/>
        <w:spacing w:line="540" w:lineRule="exact"/>
        <w:ind w:firstLine="632" w:firstLineChars="200"/>
        <w:rPr>
          <w:rFonts w:hint="eastAsia" w:eastAsia="黑体"/>
        </w:rPr>
      </w:pPr>
      <w:r>
        <w:rPr>
          <w:rFonts w:hint="eastAsia" w:eastAsia="黑体"/>
        </w:rPr>
        <w:t>四、港澳台和外国籍人员报名考试</w:t>
      </w:r>
    </w:p>
    <w:p w14:paraId="71E3ABD5">
      <w:pPr>
        <w:adjustRightInd w:val="0"/>
        <w:snapToGrid w:val="0"/>
        <w:spacing w:line="540" w:lineRule="exact"/>
        <w:ind w:firstLine="632" w:firstLineChars="200"/>
        <w:rPr>
          <w:rFonts w:hint="eastAsia" w:ascii="仿宋_GB2312" w:eastAsia="仿宋_GB2312"/>
        </w:rPr>
      </w:pPr>
      <w:r>
        <w:rPr>
          <w:rFonts w:hint="eastAsia" w:ascii="仿宋_GB2312" w:eastAsia="仿宋_GB2312"/>
        </w:rPr>
        <w:t>港澳台和外国籍人员可以报名参加审计专业技术资格考试。港澳台和外国籍人员持内地高等学校毕业证书的，可以直接填报相关信息；持香港、澳门、台湾地区或者国外高等学校学历或者学位证书的，学历、学位证书须经教育部留学服务中心认证。符合考试报名条件的港澳台和外国籍人员在内地工作地或居住地就近报名。</w:t>
      </w:r>
    </w:p>
    <w:p w14:paraId="47ACB82A">
      <w:pPr>
        <w:adjustRightInd w:val="0"/>
        <w:snapToGrid w:val="0"/>
        <w:spacing w:line="540" w:lineRule="exact"/>
        <w:ind w:firstLine="632" w:firstLineChars="200"/>
        <w:rPr>
          <w:rFonts w:hint="eastAsia" w:eastAsia="黑体"/>
        </w:rPr>
      </w:pPr>
      <w:r>
        <w:rPr>
          <w:rFonts w:hint="eastAsia" w:eastAsia="黑体"/>
        </w:rPr>
        <w:t>五、其他职称、职业资格人员报名考试</w:t>
      </w:r>
    </w:p>
    <w:p w14:paraId="25B2FA99">
      <w:pPr>
        <w:adjustRightInd w:val="0"/>
        <w:snapToGrid w:val="0"/>
        <w:spacing w:line="540" w:lineRule="exact"/>
        <w:ind w:firstLine="632" w:firstLineChars="200"/>
        <w:rPr>
          <w:rFonts w:hint="eastAsia" w:ascii="仿宋_GB2312" w:eastAsia="仿宋_GB2312"/>
        </w:rPr>
      </w:pPr>
      <w:r>
        <w:rPr>
          <w:rFonts w:hint="eastAsia" w:ascii="仿宋_GB2312" w:eastAsia="仿宋_GB2312"/>
        </w:rPr>
        <w:t>取得二级造价工程师、资产评估师、税务师职业资格证书，可以直接对应初级审计专业技术资格，按照规定的学历、年限条件报名参加中级审计专业技术资格考试。</w:t>
      </w:r>
    </w:p>
    <w:p w14:paraId="0E40CA82">
      <w:pPr>
        <w:adjustRightInd w:val="0"/>
        <w:snapToGrid w:val="0"/>
        <w:spacing w:line="540" w:lineRule="exact"/>
        <w:ind w:firstLine="632" w:firstLineChars="200"/>
        <w:rPr>
          <w:rFonts w:hint="eastAsia" w:ascii="仿宋_GB2312" w:eastAsia="仿宋_GB2312"/>
        </w:rPr>
      </w:pPr>
      <w:r>
        <w:rPr>
          <w:rFonts w:hint="eastAsia" w:ascii="仿宋_GB2312" w:eastAsia="仿宋_GB2312"/>
        </w:rPr>
        <w:t>取得注册会计师全国统一考试合格证书、一级造价工程师职业资格证书，或者在取得资产评估师、税务师职业资格证书时满足中级审计专业技术资格规定的学历和年限条件，可以直接对应中级审计专业技术资格，按照规定的学历、年限条件报名参加高级审计专业技术资格考试。</w:t>
      </w:r>
    </w:p>
    <w:p w14:paraId="0D7C96B4">
      <w:pPr>
        <w:adjustRightInd w:val="0"/>
        <w:snapToGrid w:val="0"/>
        <w:spacing w:line="540" w:lineRule="exact"/>
        <w:ind w:firstLine="632" w:firstLineChars="200"/>
        <w:rPr>
          <w:rFonts w:hint="eastAsia" w:ascii="仿宋_GB2312" w:eastAsia="仿宋_GB2312"/>
        </w:rPr>
      </w:pPr>
      <w:r>
        <w:rPr>
          <w:rFonts w:hint="eastAsia" w:ascii="仿宋_GB2312" w:eastAsia="仿宋_GB2312"/>
        </w:rPr>
        <w:t>取得中级会计、经济、统计专业技术资格或工程师等相关专业中级职称，可以视同具备中级审计专业技术资格，按照规定的学历、年限条件报名参加高级审计专业技术资格考试。</w:t>
      </w:r>
    </w:p>
    <w:p w14:paraId="0A6B4D59">
      <w:pPr>
        <w:adjustRightInd w:val="0"/>
        <w:snapToGrid w:val="0"/>
        <w:spacing w:line="540" w:lineRule="exact"/>
        <w:ind w:firstLine="632" w:firstLineChars="200"/>
        <w:rPr>
          <w:rFonts w:hint="eastAsia" w:ascii="仿宋_GB2312" w:eastAsia="仿宋_GB2312"/>
        </w:rPr>
      </w:pPr>
      <w:r>
        <w:rPr>
          <w:rFonts w:hint="eastAsia" w:ascii="仿宋_GB2312" w:eastAsia="仿宋_GB2312"/>
        </w:rPr>
        <w:t>具备其他系列副高级职称以上资格，在审计相关工作岗位从事审计相关工作满2年，可以视作符合规定的学历、年限条件，报名参加高级审计专业技术资格考试。</w:t>
      </w:r>
    </w:p>
    <w:p w14:paraId="5FA4A1EA">
      <w:pPr>
        <w:adjustRightInd w:val="0"/>
        <w:snapToGrid w:val="0"/>
        <w:spacing w:line="540" w:lineRule="exact"/>
        <w:ind w:firstLine="632" w:firstLineChars="200"/>
        <w:rPr>
          <w:rFonts w:hint="eastAsia" w:ascii="黑体" w:hAnsi="黑体" w:eastAsia="黑体"/>
        </w:rPr>
      </w:pPr>
      <w:r>
        <w:rPr>
          <w:rFonts w:hint="eastAsia" w:ascii="黑体" w:hAnsi="黑体" w:eastAsia="黑体"/>
        </w:rPr>
        <w:t>六、免考条件和程序</w:t>
      </w:r>
    </w:p>
    <w:p w14:paraId="37326748">
      <w:pPr>
        <w:adjustRightInd w:val="0"/>
        <w:snapToGrid w:val="0"/>
        <w:spacing w:line="540" w:lineRule="exact"/>
        <w:ind w:firstLine="632" w:firstLineChars="200"/>
        <w:rPr>
          <w:rFonts w:hint="eastAsia" w:ascii="仿宋_GB2312" w:eastAsia="仿宋_GB2312"/>
        </w:rPr>
      </w:pPr>
      <w:r>
        <w:rPr>
          <w:rFonts w:hint="eastAsia" w:ascii="仿宋_GB2312" w:eastAsia="仿宋_GB2312"/>
        </w:rPr>
        <w:t>获得审计硕士专业学位人员按照规定条件报名参加初级或中级审计专业技术资格考试，可以免试《审计相关基础知识》科目，仅参加《审计理论与实务》科目考试。</w:t>
      </w:r>
    </w:p>
    <w:p w14:paraId="5BBBC3BB">
      <w:pPr>
        <w:adjustRightInd w:val="0"/>
        <w:snapToGrid w:val="0"/>
        <w:spacing w:line="540" w:lineRule="exact"/>
        <w:ind w:firstLine="632" w:firstLineChars="200"/>
        <w:rPr>
          <w:rFonts w:hint="eastAsia" w:ascii="仿宋_GB2312" w:eastAsia="仿宋_GB2312"/>
        </w:rPr>
      </w:pPr>
      <w:r>
        <w:rPr>
          <w:rFonts w:hint="eastAsia" w:ascii="仿宋_GB2312" w:eastAsia="仿宋_GB2312"/>
        </w:rPr>
        <w:t>我国审计硕士专业学位于2011年设立，《研究生教育学科专业目录（2022年）》规定审计专业学位类别代码为1257（2011—2022年期间专业学位类别代码为025700），学位证书显示的授予学位为“审计硕士”。获得过审计硕士专业学位授权点的研究生培养单位名单如下：</w:t>
      </w:r>
    </w:p>
    <w:tbl>
      <w:tblPr>
        <w:tblStyle w:val="10"/>
        <w:tblW w:w="0" w:type="auto"/>
        <w:jc w:val="center"/>
        <w:tblLayout w:type="fixed"/>
        <w:tblCellMar>
          <w:top w:w="0" w:type="dxa"/>
          <w:left w:w="108" w:type="dxa"/>
          <w:bottom w:w="0" w:type="dxa"/>
          <w:right w:w="108" w:type="dxa"/>
        </w:tblCellMar>
      </w:tblPr>
      <w:tblGrid>
        <w:gridCol w:w="717"/>
        <w:gridCol w:w="2172"/>
        <w:gridCol w:w="821"/>
        <w:gridCol w:w="2359"/>
        <w:gridCol w:w="690"/>
        <w:gridCol w:w="2052"/>
      </w:tblGrid>
      <w:tr w14:paraId="76E5F0FD">
        <w:tblPrEx>
          <w:tblCellMar>
            <w:top w:w="0" w:type="dxa"/>
            <w:left w:w="108" w:type="dxa"/>
            <w:bottom w:w="0" w:type="dxa"/>
            <w:right w:w="108" w:type="dxa"/>
          </w:tblCellMar>
        </w:tblPrEx>
        <w:trPr>
          <w:trHeight w:val="340" w:hRule="exact"/>
          <w:tblHeader/>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4838C633">
            <w:pPr>
              <w:widowControl/>
              <w:spacing w:line="240" w:lineRule="exact"/>
              <w:jc w:val="center"/>
              <w:textAlignment w:val="center"/>
              <w:rPr>
                <w:rFonts w:ascii="黑体" w:hAnsi="宋体" w:eastAsia="黑体" w:cs="黑体"/>
                <w:color w:val="000000"/>
                <w:sz w:val="21"/>
                <w:szCs w:val="21"/>
              </w:rPr>
            </w:pPr>
            <w:r>
              <w:rPr>
                <w:rFonts w:hint="eastAsia" w:ascii="黑体" w:hAnsi="宋体" w:eastAsia="黑体" w:cs="黑体"/>
                <w:color w:val="000000"/>
                <w:kern w:val="0"/>
                <w:sz w:val="21"/>
                <w:szCs w:val="21"/>
                <w:lang w:bidi="ar"/>
              </w:rPr>
              <w:t>序号</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39E6F239">
            <w:pPr>
              <w:widowControl/>
              <w:spacing w:line="240" w:lineRule="exact"/>
              <w:jc w:val="center"/>
              <w:textAlignment w:val="center"/>
              <w:rPr>
                <w:rFonts w:hint="eastAsia" w:ascii="黑体" w:hAnsi="宋体" w:eastAsia="黑体" w:cs="黑体"/>
                <w:color w:val="000000"/>
                <w:sz w:val="21"/>
                <w:szCs w:val="21"/>
              </w:rPr>
            </w:pPr>
            <w:r>
              <w:rPr>
                <w:rFonts w:hint="eastAsia" w:ascii="黑体" w:hAnsi="宋体" w:eastAsia="黑体" w:cs="黑体"/>
                <w:color w:val="000000"/>
                <w:kern w:val="0"/>
                <w:sz w:val="21"/>
                <w:szCs w:val="21"/>
                <w:lang w:bidi="ar"/>
              </w:rPr>
              <w:t>培养单位</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57FAD9AE">
            <w:pPr>
              <w:widowControl/>
              <w:spacing w:line="240" w:lineRule="exact"/>
              <w:jc w:val="center"/>
              <w:textAlignment w:val="center"/>
              <w:rPr>
                <w:rFonts w:hint="eastAsia" w:ascii="黑体" w:hAnsi="宋体" w:eastAsia="黑体" w:cs="黑体"/>
                <w:color w:val="000000"/>
                <w:sz w:val="21"/>
                <w:szCs w:val="21"/>
              </w:rPr>
            </w:pPr>
            <w:r>
              <w:rPr>
                <w:rFonts w:hint="eastAsia" w:ascii="黑体" w:hAnsi="宋体" w:eastAsia="黑体" w:cs="黑体"/>
                <w:color w:val="000000"/>
                <w:kern w:val="0"/>
                <w:sz w:val="21"/>
                <w:szCs w:val="21"/>
                <w:lang w:bidi="ar"/>
              </w:rPr>
              <w:t>序号</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747B7096">
            <w:pPr>
              <w:widowControl/>
              <w:spacing w:line="240" w:lineRule="exact"/>
              <w:jc w:val="center"/>
              <w:textAlignment w:val="center"/>
              <w:rPr>
                <w:rFonts w:hint="eastAsia" w:ascii="黑体" w:hAnsi="宋体" w:eastAsia="黑体" w:cs="黑体"/>
                <w:color w:val="000000"/>
                <w:sz w:val="21"/>
                <w:szCs w:val="21"/>
              </w:rPr>
            </w:pPr>
            <w:r>
              <w:rPr>
                <w:rFonts w:hint="eastAsia" w:ascii="黑体" w:hAnsi="宋体" w:eastAsia="黑体" w:cs="黑体"/>
                <w:color w:val="000000"/>
                <w:kern w:val="0"/>
                <w:sz w:val="21"/>
                <w:szCs w:val="21"/>
                <w:lang w:bidi="ar"/>
              </w:rPr>
              <w:t>培养单位</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3D1EF4CF">
            <w:pPr>
              <w:widowControl/>
              <w:spacing w:line="240" w:lineRule="exact"/>
              <w:jc w:val="center"/>
              <w:textAlignment w:val="center"/>
              <w:rPr>
                <w:rFonts w:hint="eastAsia" w:ascii="黑体" w:hAnsi="宋体" w:eastAsia="黑体" w:cs="黑体"/>
                <w:color w:val="000000"/>
                <w:sz w:val="21"/>
                <w:szCs w:val="21"/>
              </w:rPr>
            </w:pPr>
            <w:r>
              <w:rPr>
                <w:rFonts w:hint="eastAsia" w:ascii="黑体" w:hAnsi="宋体" w:eastAsia="黑体" w:cs="黑体"/>
                <w:color w:val="000000"/>
                <w:kern w:val="0"/>
                <w:sz w:val="21"/>
                <w:szCs w:val="21"/>
                <w:lang w:bidi="ar"/>
              </w:rPr>
              <w:t>序号</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066EEF0E">
            <w:pPr>
              <w:widowControl/>
              <w:spacing w:line="240" w:lineRule="exact"/>
              <w:jc w:val="center"/>
              <w:textAlignment w:val="center"/>
              <w:rPr>
                <w:rFonts w:hint="eastAsia" w:ascii="黑体" w:hAnsi="宋体" w:eastAsia="黑体" w:cs="黑体"/>
                <w:color w:val="000000"/>
                <w:sz w:val="21"/>
                <w:szCs w:val="21"/>
              </w:rPr>
            </w:pPr>
            <w:r>
              <w:rPr>
                <w:rFonts w:hint="eastAsia" w:ascii="黑体" w:hAnsi="宋体" w:eastAsia="黑体" w:cs="黑体"/>
                <w:color w:val="000000"/>
                <w:kern w:val="0"/>
                <w:sz w:val="21"/>
                <w:szCs w:val="21"/>
                <w:lang w:bidi="ar"/>
              </w:rPr>
              <w:t>单位</w:t>
            </w:r>
          </w:p>
        </w:tc>
      </w:tr>
      <w:tr w14:paraId="48057F58">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05E48E1E">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1</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331CE7BF">
            <w:pPr>
              <w:widowControl/>
              <w:spacing w:line="240" w:lineRule="exact"/>
              <w:jc w:val="center"/>
              <w:rPr>
                <w:rFonts w:ascii="仿宋_GB2312" w:hAnsi="等线" w:eastAsia="仿宋_GB2312"/>
                <w:color w:val="000000"/>
                <w:kern w:val="0"/>
                <w:sz w:val="21"/>
                <w:szCs w:val="21"/>
              </w:rPr>
            </w:pPr>
            <w:r>
              <w:rPr>
                <w:rFonts w:hint="eastAsia" w:ascii="仿宋_GB2312" w:hAnsi="等线" w:eastAsia="仿宋_GB2312"/>
                <w:color w:val="000000"/>
                <w:sz w:val="21"/>
                <w:szCs w:val="21"/>
              </w:rPr>
              <w:t>北京大学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5353B8AC">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29</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45C2B29B">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上海立信会计金融学院</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42DC3DA7">
            <w:pPr>
              <w:widowControl/>
              <w:spacing w:line="240" w:lineRule="exact"/>
              <w:jc w:val="center"/>
              <w:textAlignment w:val="center"/>
              <w:rPr>
                <w:rFonts w:ascii="仿宋_GB2312" w:eastAsia="仿宋_GB2312"/>
                <w:color w:val="000000"/>
                <w:kern w:val="0"/>
                <w:sz w:val="21"/>
                <w:szCs w:val="21"/>
                <w:lang w:bidi="ar"/>
              </w:rPr>
            </w:pPr>
            <w:r>
              <w:rPr>
                <w:rFonts w:hint="eastAsia" w:ascii="仿宋_GB2312" w:eastAsia="仿宋_GB2312"/>
                <w:color w:val="000000"/>
                <w:kern w:val="0"/>
                <w:sz w:val="21"/>
                <w:szCs w:val="21"/>
                <w:lang w:bidi="ar"/>
              </w:rPr>
              <w:t>57</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2F99EDF1">
            <w:pPr>
              <w:spacing w:line="240" w:lineRule="exact"/>
              <w:jc w:val="center"/>
              <w:rPr>
                <w:rFonts w:ascii="仿宋_GB2312" w:hAnsi="等线" w:eastAsia="仿宋_GB2312"/>
                <w:color w:val="000000"/>
                <w:sz w:val="21"/>
                <w:szCs w:val="21"/>
              </w:rPr>
            </w:pPr>
            <w:r>
              <w:rPr>
                <w:rFonts w:hint="eastAsia" w:ascii="仿宋_GB2312" w:hAnsi="等线" w:eastAsia="仿宋_GB2312"/>
                <w:color w:val="000000"/>
                <w:sz w:val="21"/>
                <w:szCs w:val="21"/>
              </w:rPr>
              <w:t>湖南工商大学</w:t>
            </w:r>
          </w:p>
        </w:tc>
      </w:tr>
      <w:tr w14:paraId="67336EA4">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44C3A095">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2</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4CC1E20C">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中国人民大学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6564B3AF">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30</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749496C2">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上海政法学院</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765D1D99">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58</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79CA5426">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中山大学</w:t>
            </w:r>
          </w:p>
        </w:tc>
      </w:tr>
      <w:tr w14:paraId="59BF48D2">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6959EA06">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3</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0716ECC8">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北京交通大学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661C480E">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31</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19B93833">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上海国家会计学院</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096E8A78">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59</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05EB3DE5">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暨南大学</w:t>
            </w:r>
          </w:p>
        </w:tc>
      </w:tr>
      <w:tr w14:paraId="5C4D43B1">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0FA4F898">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4</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78184882">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北京工商大学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0829DDAF">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32</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71CA1C3E">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南京大学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3C9C48F1">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60</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7B0A3675">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广东财经大学</w:t>
            </w:r>
          </w:p>
        </w:tc>
      </w:tr>
      <w:tr w14:paraId="0711B3EC">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76245101">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5</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39A38934">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北京石油化工学院</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2426EF84">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33</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6FD13F88">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南京信息工程大学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54798B70">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61</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1EAFC4C6">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广东金融学院</w:t>
            </w:r>
          </w:p>
        </w:tc>
      </w:tr>
      <w:tr w14:paraId="0A5CF05C">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3CC49F5F">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6</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24632297">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中央财经大学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738716FC">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34</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75BD2739">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南京财经大学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5E272C05">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62</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3E4820C9">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广东外语外贸大学</w:t>
            </w:r>
          </w:p>
        </w:tc>
      </w:tr>
      <w:tr w14:paraId="69F654B0">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6F1DB3B3">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7</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07ECAB74">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对外经济贸易大学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355FC8CA">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35</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2767165C">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南京审计大学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7925D473">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63</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12DFC89D">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广西财经学院</w:t>
            </w:r>
          </w:p>
        </w:tc>
      </w:tr>
      <w:tr w14:paraId="3BF6E04C">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306BFADB">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8</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677F333A">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首都经济贸易大学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3B9B9543">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36</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1268C040">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杭州电子科技大学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19ECB833">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64</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6D017CCE">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四川外国语大学</w:t>
            </w:r>
          </w:p>
        </w:tc>
      </w:tr>
      <w:tr w14:paraId="6404584E">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05B24F00">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9</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5F046D51">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中国政法大学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43AD5C18">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37</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5554CE17">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浙江工商大学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20941A05">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65</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68FF3B81">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西南政法大学</w:t>
            </w:r>
          </w:p>
        </w:tc>
      </w:tr>
      <w:tr w14:paraId="1ABDFE6D">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6560DDE4">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10</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344800DC">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北京国家会计学院</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1B6C8DC8">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38</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2C30CC0A">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浙江财经大学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6EE91773">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66</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6A5EBE4A">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重庆理工大学</w:t>
            </w:r>
          </w:p>
        </w:tc>
      </w:tr>
      <w:tr w14:paraId="678F78A0">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72179359">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11</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69BB059C">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中国财政科学研究院</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10AB47B4">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39</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2E8EF737">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安徽财经大学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567211B8">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67</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7279B475">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重庆工商大学</w:t>
            </w:r>
          </w:p>
        </w:tc>
      </w:tr>
      <w:tr w14:paraId="6A6F1474">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3616A726">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12</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1D33300C">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南开大学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4F98908E">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40</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512E2AAD">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厦门大学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3EC28800">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68</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39F4C0B1">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陆军勤务学院</w:t>
            </w:r>
          </w:p>
        </w:tc>
      </w:tr>
      <w:tr w14:paraId="4E453C86">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7F85ACDA">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13</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37D97840">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天津财经大学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5C67BC14">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41</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4DA16943">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厦门国家会计学院</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4997CEFF">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69</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0AFC331E">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四川大学</w:t>
            </w:r>
          </w:p>
        </w:tc>
      </w:tr>
      <w:tr w14:paraId="640A4E08">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449416A8">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14</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25276E3C">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河北大学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27F50C10">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42</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2ECF9BC7">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江西财经大学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29E024BE">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70</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03DA497E">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四川师范大学</w:t>
            </w:r>
          </w:p>
        </w:tc>
      </w:tr>
      <w:tr w14:paraId="4336FEDC">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050314AF">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15</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2C8B72CE">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河北经贸大学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77E6439A">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43</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241274AF">
            <w:pPr>
              <w:widowControl/>
              <w:spacing w:line="240" w:lineRule="exact"/>
              <w:jc w:val="center"/>
              <w:rPr>
                <w:rFonts w:ascii="仿宋_GB2312" w:hAnsi="等线" w:eastAsia="仿宋_GB2312"/>
                <w:color w:val="000000"/>
                <w:kern w:val="0"/>
                <w:sz w:val="21"/>
                <w:szCs w:val="21"/>
              </w:rPr>
            </w:pPr>
            <w:r>
              <w:rPr>
                <w:rFonts w:hint="eastAsia" w:ascii="仿宋_GB2312" w:hAnsi="等线" w:eastAsia="仿宋_GB2312"/>
                <w:color w:val="000000"/>
                <w:sz w:val="21"/>
                <w:szCs w:val="21"/>
              </w:rPr>
              <w:t>山东大学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3A3CDC8D">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71</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0FD7B71E">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西南财经大学</w:t>
            </w:r>
          </w:p>
        </w:tc>
      </w:tr>
      <w:tr w14:paraId="402EA6D6">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3648D139">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16</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1EC8493A">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山西财经大学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74E61E6A">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44</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498B1E85">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中国海洋大学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23FFF12C">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72</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66D41DFF">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贵州财经大学</w:t>
            </w:r>
          </w:p>
        </w:tc>
      </w:tr>
      <w:tr w14:paraId="74795A7A">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47C391AA">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17</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2B466702">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内蒙古财经大学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7AFFF251">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45</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3308B744">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山东财经大学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433A6CD7">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73</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281762FA">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云南大学</w:t>
            </w:r>
          </w:p>
        </w:tc>
      </w:tr>
      <w:tr w14:paraId="0DB8E035">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234FC300">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18</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081B3C2B">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辽宁大学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0B570FD9">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46</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7155F50E">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山东工商学院</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3672D4D3">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74</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2C54B2F3">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云南师范大学</w:t>
            </w:r>
          </w:p>
        </w:tc>
      </w:tr>
      <w:tr w14:paraId="5A3C0EA2">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50E8DD15">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19</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7B4BBDE9">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渤海大学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41522024">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47</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4CE8D5E8">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中原工学院</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0079F350">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75</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229A392D">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云南财经大学</w:t>
            </w:r>
          </w:p>
        </w:tc>
      </w:tr>
      <w:tr w14:paraId="46F505DA">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2E9A1206">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20</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1F27FFFB">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东北财经大学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487C6CD5">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48</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4D412CF4">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河南大学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01D5F3A4">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76</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7DEC21DB">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西安理工大学</w:t>
            </w:r>
          </w:p>
        </w:tc>
      </w:tr>
      <w:tr w14:paraId="13011C6E">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775DDB62">
            <w:pPr>
              <w:widowControl/>
              <w:spacing w:line="240" w:lineRule="exact"/>
              <w:jc w:val="center"/>
              <w:textAlignment w:val="center"/>
              <w:rPr>
                <w:rFonts w:hint="eastAsia" w:ascii="仿宋_GB2312" w:eastAsia="仿宋_GB2312"/>
                <w:color w:val="000000"/>
                <w:sz w:val="21"/>
                <w:szCs w:val="21"/>
              </w:rPr>
            </w:pPr>
            <w:r>
              <w:rPr>
                <w:rFonts w:hint="eastAsia" w:ascii="仿宋_GB2312" w:eastAsia="仿宋_GB2312"/>
                <w:color w:val="000000"/>
                <w:kern w:val="0"/>
                <w:sz w:val="21"/>
                <w:szCs w:val="21"/>
                <w:lang w:bidi="ar"/>
              </w:rPr>
              <w:t>21</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1B7C6801">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大连大学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01E8B51E">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49</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31B399E8">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河南财经政法大学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6B5B7C32">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77</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0F46814A">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西北政法大学</w:t>
            </w:r>
          </w:p>
        </w:tc>
      </w:tr>
      <w:tr w14:paraId="10788221">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65B2ADAA">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22</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12FAA8C8">
            <w:pPr>
              <w:widowControl/>
              <w:spacing w:line="240" w:lineRule="exact"/>
              <w:jc w:val="center"/>
              <w:rPr>
                <w:rFonts w:ascii="仿宋_GB2312" w:hAnsi="等线" w:eastAsia="仿宋_GB2312"/>
                <w:color w:val="000000"/>
                <w:kern w:val="0"/>
                <w:sz w:val="21"/>
                <w:szCs w:val="21"/>
              </w:rPr>
            </w:pPr>
            <w:r>
              <w:rPr>
                <w:rFonts w:hint="eastAsia" w:ascii="仿宋_GB2312" w:hAnsi="等线" w:eastAsia="仿宋_GB2312"/>
                <w:color w:val="000000"/>
                <w:sz w:val="21"/>
                <w:szCs w:val="21"/>
              </w:rPr>
              <w:t>大连民族大学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3AEA46AF">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50</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02D2BFBA">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郑州航空工业管理学院</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3D894647">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78</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206369A5">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西安财经大学</w:t>
            </w:r>
          </w:p>
        </w:tc>
      </w:tr>
      <w:tr w14:paraId="6BF9B586">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30D3779F">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23</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78743F24">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吉林大学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207B35E7">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51</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1DED06CB">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武汉大学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61396F85">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79</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6D9413C6">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西京学院</w:t>
            </w:r>
          </w:p>
        </w:tc>
      </w:tr>
      <w:tr w14:paraId="2FC18A51">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757F5038">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24</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144DD313">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吉林财经大学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709C66D7">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52</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7786E383">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华中科技大学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5D9C8DA7">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80</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1DC1CD11">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兰州财经大学</w:t>
            </w:r>
          </w:p>
        </w:tc>
      </w:tr>
      <w:tr w14:paraId="49F0B779">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0F207A84">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25</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69DA8235">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哈尔滨商业大学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11AD3105">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53</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15D68BE6">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武汉纺织大学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267BF153">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81</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35527217">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石河子大学</w:t>
            </w:r>
          </w:p>
        </w:tc>
      </w:tr>
      <w:tr w14:paraId="28F76DF2">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08A6A9E3">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26</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6AE888F3">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上海交通大学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1995E6E3">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54</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3DDA065B">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中南财经政法大学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4E18A869">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82</w:t>
            </w: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0065F257">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新疆财经大学</w:t>
            </w:r>
          </w:p>
        </w:tc>
      </w:tr>
      <w:tr w14:paraId="52194087">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0EAC55DF">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27</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2AE6286B">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上海财经大学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73B65AE2">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55</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0A11DDFC">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湖北经济学院</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2B2F4AE8">
            <w:pPr>
              <w:widowControl/>
              <w:spacing w:line="240" w:lineRule="exact"/>
              <w:jc w:val="center"/>
              <w:textAlignment w:val="center"/>
              <w:rPr>
                <w:rFonts w:hint="eastAsia" w:ascii="仿宋_GB2312" w:eastAsia="仿宋_GB2312"/>
                <w:color w:val="000000"/>
                <w:kern w:val="0"/>
                <w:sz w:val="21"/>
                <w:szCs w:val="21"/>
                <w:lang w:bidi="ar"/>
              </w:rPr>
            </w:pP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3AC5BE71">
            <w:pPr>
              <w:widowControl/>
              <w:spacing w:line="240" w:lineRule="exact"/>
              <w:jc w:val="center"/>
              <w:textAlignment w:val="center"/>
              <w:rPr>
                <w:rFonts w:hint="eastAsia" w:ascii="仿宋_GB2312" w:eastAsia="仿宋_GB2312"/>
                <w:color w:val="000000"/>
                <w:kern w:val="0"/>
                <w:sz w:val="21"/>
                <w:szCs w:val="21"/>
                <w:lang w:bidi="ar"/>
              </w:rPr>
            </w:pPr>
          </w:p>
        </w:tc>
      </w:tr>
      <w:tr w14:paraId="59837B5D">
        <w:tblPrEx>
          <w:tblCellMar>
            <w:top w:w="0" w:type="dxa"/>
            <w:left w:w="108" w:type="dxa"/>
            <w:bottom w:w="0" w:type="dxa"/>
            <w:right w:w="108" w:type="dxa"/>
          </w:tblCellMar>
        </w:tblPrEx>
        <w:trPr>
          <w:trHeight w:val="340" w:hRule="exact"/>
          <w:jc w:val="center"/>
        </w:trPr>
        <w:tc>
          <w:tcPr>
            <w:tcW w:w="717" w:type="dxa"/>
            <w:tcBorders>
              <w:top w:val="single" w:color="000000" w:sz="4" w:space="0"/>
              <w:left w:val="single" w:color="000000" w:sz="4" w:space="0"/>
              <w:bottom w:val="single" w:color="000000" w:sz="4" w:space="0"/>
              <w:right w:val="single" w:color="000000" w:sz="4" w:space="0"/>
            </w:tcBorders>
            <w:noWrap w:val="0"/>
            <w:vAlign w:val="center"/>
          </w:tcPr>
          <w:p w14:paraId="2BAA5688">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28</w:t>
            </w:r>
          </w:p>
        </w:tc>
        <w:tc>
          <w:tcPr>
            <w:tcW w:w="2172" w:type="dxa"/>
            <w:tcBorders>
              <w:top w:val="single" w:color="000000" w:sz="4" w:space="0"/>
              <w:left w:val="single" w:color="000000" w:sz="4" w:space="0"/>
              <w:bottom w:val="single" w:color="000000" w:sz="4" w:space="0"/>
              <w:right w:val="single" w:color="auto" w:sz="4" w:space="0"/>
            </w:tcBorders>
            <w:noWrap w:val="0"/>
            <w:vAlign w:val="center"/>
          </w:tcPr>
          <w:p w14:paraId="08A6099D">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上海对外经贸大学</w:t>
            </w:r>
          </w:p>
        </w:tc>
        <w:tc>
          <w:tcPr>
            <w:tcW w:w="821" w:type="dxa"/>
            <w:tcBorders>
              <w:top w:val="single" w:color="000000" w:sz="4" w:space="0"/>
              <w:left w:val="single" w:color="auto" w:sz="4" w:space="0"/>
              <w:bottom w:val="single" w:color="000000" w:sz="4" w:space="0"/>
              <w:right w:val="single" w:color="auto" w:sz="4" w:space="0"/>
            </w:tcBorders>
            <w:noWrap w:val="0"/>
            <w:vAlign w:val="center"/>
          </w:tcPr>
          <w:p w14:paraId="0A43B021">
            <w:pPr>
              <w:widowControl/>
              <w:spacing w:line="240" w:lineRule="exact"/>
              <w:jc w:val="center"/>
              <w:textAlignment w:val="center"/>
              <w:rPr>
                <w:rFonts w:hint="eastAsia" w:ascii="仿宋_GB2312" w:eastAsia="仿宋_GB2312"/>
                <w:color w:val="000000"/>
                <w:kern w:val="0"/>
                <w:sz w:val="21"/>
                <w:szCs w:val="21"/>
                <w:lang w:bidi="ar"/>
              </w:rPr>
            </w:pPr>
            <w:r>
              <w:rPr>
                <w:rFonts w:hint="eastAsia" w:ascii="仿宋_GB2312" w:eastAsia="仿宋_GB2312"/>
                <w:color w:val="000000"/>
                <w:kern w:val="0"/>
                <w:sz w:val="21"/>
                <w:szCs w:val="21"/>
                <w:lang w:bidi="ar"/>
              </w:rPr>
              <w:t>56</w:t>
            </w:r>
          </w:p>
        </w:tc>
        <w:tc>
          <w:tcPr>
            <w:tcW w:w="2359" w:type="dxa"/>
            <w:tcBorders>
              <w:top w:val="single" w:color="000000" w:sz="4" w:space="0"/>
              <w:left w:val="single" w:color="auto" w:sz="4" w:space="0"/>
              <w:bottom w:val="single" w:color="000000" w:sz="4" w:space="0"/>
              <w:right w:val="single" w:color="000000" w:sz="4" w:space="0"/>
            </w:tcBorders>
            <w:noWrap w:val="0"/>
            <w:vAlign w:val="center"/>
          </w:tcPr>
          <w:p w14:paraId="18DC12A5">
            <w:pPr>
              <w:spacing w:line="240" w:lineRule="exact"/>
              <w:jc w:val="center"/>
              <w:rPr>
                <w:rFonts w:hint="eastAsia" w:ascii="仿宋_GB2312" w:hAnsi="等线" w:eastAsia="仿宋_GB2312"/>
                <w:color w:val="000000"/>
                <w:sz w:val="21"/>
                <w:szCs w:val="21"/>
              </w:rPr>
            </w:pPr>
            <w:r>
              <w:rPr>
                <w:rFonts w:hint="eastAsia" w:ascii="仿宋_GB2312" w:hAnsi="等线" w:eastAsia="仿宋_GB2312"/>
                <w:color w:val="000000"/>
                <w:sz w:val="21"/>
                <w:szCs w:val="21"/>
              </w:rPr>
              <w:t>湖南大学</w:t>
            </w:r>
          </w:p>
        </w:tc>
        <w:tc>
          <w:tcPr>
            <w:tcW w:w="690" w:type="dxa"/>
            <w:tcBorders>
              <w:top w:val="single" w:color="000000" w:sz="4" w:space="0"/>
              <w:left w:val="single" w:color="000000" w:sz="4" w:space="0"/>
              <w:bottom w:val="single" w:color="000000" w:sz="4" w:space="0"/>
              <w:right w:val="single" w:color="auto" w:sz="4" w:space="0"/>
            </w:tcBorders>
            <w:noWrap w:val="0"/>
            <w:vAlign w:val="center"/>
          </w:tcPr>
          <w:p w14:paraId="6A009060">
            <w:pPr>
              <w:widowControl/>
              <w:spacing w:line="240" w:lineRule="exact"/>
              <w:jc w:val="center"/>
              <w:textAlignment w:val="center"/>
              <w:rPr>
                <w:rFonts w:hint="eastAsia" w:ascii="仿宋_GB2312" w:eastAsia="仿宋_GB2312"/>
                <w:color w:val="000000"/>
                <w:kern w:val="0"/>
                <w:sz w:val="21"/>
                <w:szCs w:val="21"/>
                <w:lang w:bidi="ar"/>
              </w:rPr>
            </w:pPr>
          </w:p>
        </w:tc>
        <w:tc>
          <w:tcPr>
            <w:tcW w:w="2052" w:type="dxa"/>
            <w:tcBorders>
              <w:top w:val="single" w:color="000000" w:sz="4" w:space="0"/>
              <w:left w:val="single" w:color="auto" w:sz="4" w:space="0"/>
              <w:bottom w:val="single" w:color="000000" w:sz="4" w:space="0"/>
              <w:right w:val="single" w:color="auto" w:sz="4" w:space="0"/>
            </w:tcBorders>
            <w:noWrap w:val="0"/>
            <w:vAlign w:val="center"/>
          </w:tcPr>
          <w:p w14:paraId="3D83C3E3">
            <w:pPr>
              <w:widowControl/>
              <w:spacing w:line="240" w:lineRule="exact"/>
              <w:jc w:val="center"/>
              <w:textAlignment w:val="center"/>
              <w:rPr>
                <w:rFonts w:hint="eastAsia" w:ascii="仿宋_GB2312" w:eastAsia="仿宋_GB2312"/>
                <w:color w:val="000000"/>
                <w:kern w:val="0"/>
                <w:sz w:val="21"/>
                <w:szCs w:val="21"/>
                <w:lang w:bidi="ar"/>
              </w:rPr>
            </w:pPr>
          </w:p>
        </w:tc>
      </w:tr>
    </w:tbl>
    <w:p w14:paraId="47612893">
      <w:pPr>
        <w:adjustRightInd w:val="0"/>
        <w:snapToGrid w:val="0"/>
        <w:spacing w:line="440" w:lineRule="exact"/>
        <w:ind w:firstLine="472" w:firstLineChars="200"/>
        <w:rPr>
          <w:rFonts w:eastAsia="仿宋_GB2312"/>
          <w:color w:val="000000"/>
          <w:kern w:val="0"/>
          <w:sz w:val="24"/>
          <w:szCs w:val="24"/>
          <w:lang w:bidi="ar"/>
        </w:rPr>
      </w:pPr>
      <w:r>
        <w:rPr>
          <w:rFonts w:eastAsia="仿宋_GB2312"/>
          <w:color w:val="000000"/>
          <w:kern w:val="0"/>
          <w:sz w:val="24"/>
          <w:szCs w:val="24"/>
          <w:lang w:bidi="ar"/>
        </w:rPr>
        <w:t>备注：已撤销授权点的院校在获批期间存在审计硕士专业学位毕业生的，该毕业</w:t>
      </w:r>
    </w:p>
    <w:p w14:paraId="54C70314">
      <w:pPr>
        <w:adjustRightInd w:val="0"/>
        <w:snapToGrid w:val="0"/>
        <w:spacing w:line="440" w:lineRule="exact"/>
        <w:ind w:firstLine="1180" w:firstLineChars="500"/>
        <w:rPr>
          <w:rFonts w:eastAsia="黑体" w:cs="黑体"/>
        </w:rPr>
      </w:pPr>
      <w:r>
        <w:rPr>
          <w:rFonts w:eastAsia="仿宋_GB2312"/>
          <w:color w:val="000000"/>
          <w:kern w:val="0"/>
          <w:sz w:val="24"/>
          <w:szCs w:val="24"/>
          <w:lang w:bidi="ar"/>
        </w:rPr>
        <w:t>生具备《审计相关基础知识》科目免考资格。</w:t>
      </w:r>
    </w:p>
    <w:p w14:paraId="35CF8F5A">
      <w:pPr>
        <w:spacing w:line="560" w:lineRule="exact"/>
        <w:ind w:firstLine="632" w:firstLineChars="200"/>
        <w:rPr>
          <w:rFonts w:hint="eastAsia" w:ascii="黑体" w:hAnsi="黑体" w:eastAsia="黑体"/>
        </w:rPr>
      </w:pPr>
      <w:r>
        <w:rPr>
          <w:rFonts w:hint="eastAsia" w:ascii="黑体" w:hAnsi="黑体" w:eastAsia="黑体"/>
        </w:rPr>
        <w:t>七、从事审计相关工作界定</w:t>
      </w:r>
    </w:p>
    <w:p w14:paraId="75C00FC6">
      <w:pPr>
        <w:spacing w:line="560" w:lineRule="exact"/>
        <w:ind w:firstLine="632" w:firstLineChars="200"/>
        <w:rPr>
          <w:rFonts w:hint="eastAsia" w:ascii="仿宋_GB2312" w:eastAsia="仿宋_GB2312"/>
        </w:rPr>
      </w:pPr>
      <w:r>
        <w:rPr>
          <w:rFonts w:hint="eastAsia" w:ascii="仿宋_GB2312" w:eastAsia="仿宋_GB2312"/>
        </w:rPr>
        <w:t>在审计及相关合规、稽核、内部控制、风险管理等岗位工作，或者在会计、经济、统计、工程或教育科研等岗位工作且有相关审计实践经验的，可以视同从事审计相关工作。</w:t>
      </w:r>
    </w:p>
    <w:p w14:paraId="5F4292AB">
      <w:pPr>
        <w:spacing w:line="560" w:lineRule="exact"/>
        <w:ind w:firstLine="632" w:firstLineChars="200"/>
        <w:rPr>
          <w:rFonts w:hint="eastAsia" w:ascii="黑体" w:hAnsi="黑体" w:eastAsia="黑体"/>
        </w:rPr>
      </w:pPr>
      <w:r>
        <w:rPr>
          <w:rFonts w:hint="eastAsia" w:ascii="黑体" w:hAnsi="黑体" w:eastAsia="黑体"/>
        </w:rPr>
        <w:t>八、工作年限计算</w:t>
      </w:r>
    </w:p>
    <w:p w14:paraId="3113B47D">
      <w:pPr>
        <w:spacing w:line="560" w:lineRule="exact"/>
        <w:ind w:firstLine="632" w:firstLineChars="200"/>
        <w:rPr>
          <w:rFonts w:hint="eastAsia" w:ascii="仿宋_GB2312" w:hAnsi="黑体" w:eastAsia="仿宋_GB2312" w:cs="黑体"/>
        </w:rPr>
      </w:pPr>
      <w:r>
        <w:rPr>
          <w:rFonts w:hint="eastAsia" w:ascii="仿宋_GB2312" w:eastAsia="仿宋_GB2312"/>
        </w:rPr>
        <w:t>取得相应学历学位前后的审计相关工作年限合并计算，工作年限计算截止日期为考试年度的12月31日。</w:t>
      </w:r>
    </w:p>
    <w:sectPr>
      <w:footerReference r:id="rId3" w:type="default"/>
      <w:footerReference r:id="rId4" w:type="even"/>
      <w:pgSz w:w="11906" w:h="16838"/>
      <w:pgMar w:top="2098" w:right="1531" w:bottom="1814" w:left="1531" w:header="851" w:footer="1587" w:gutter="0"/>
      <w:cols w:space="720" w:num="1"/>
      <w:docGrid w:type="linesAndChars" w:linePitch="58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宋体-18030">
    <w:altName w:val="微软雅黑"/>
    <w:panose1 w:val="02010609060101010101"/>
    <w:charset w:val="86"/>
    <w:family w:val="modern"/>
    <w:pitch w:val="default"/>
    <w:sig w:usb0="00000000" w:usb1="00000000" w:usb2="000A005E" w:usb3="00000000" w:csb0="00040001" w:csb1="00000000"/>
  </w:font>
  <w:font w:name="华文中宋">
    <w:altName w:val="宋体"/>
    <w:panose1 w:val="02010600040101010101"/>
    <w:charset w:val="86"/>
    <w:family w:val="auto"/>
    <w:pitch w:val="default"/>
    <w:sig w:usb0="00000000" w:usb1="00000000" w:usb2="00000010" w:usb3="00000000" w:csb0="0004009F" w:csb1="00000000"/>
  </w:font>
  <w:font w:name="DejaVu Sans">
    <w:altName w:val="Segoe Print"/>
    <w:panose1 w:val="020B0606030804020204"/>
    <w:charset w:val="00"/>
    <w:family w:val="auto"/>
    <w:pitch w:val="default"/>
    <w:sig w:usb0="00000000" w:usb1="00000000" w:usb2="0A246029" w:usb3="0400200C" w:csb0="600001FF" w:csb1="DFFF0000"/>
  </w:font>
  <w:font w:name="Segoe Print">
    <w:panose1 w:val="02000600000000000000"/>
    <w:charset w:val="00"/>
    <w:family w:val="auto"/>
    <w:pitch w:val="default"/>
    <w:sig w:usb0="0000028F" w:usb1="00000000" w:usb2="00000000" w:usb3="00000000" w:csb0="2000009F" w:csb1="47010000"/>
  </w:font>
  <w:font w:name="长城小标宋体">
    <w:altName w:val="方正小标宋简体"/>
    <w:panose1 w:val="02010609010101010101"/>
    <w:charset w:val="00"/>
    <w:family w:val="auto"/>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6DB59E">
    <w:pPr>
      <w:pStyle w:val="5"/>
      <w:framePr w:wrap="around" w:vAnchor="text" w:hAnchor="margin" w:xAlign="outside" w:y="1"/>
      <w:ind w:left="320" w:leftChars="100" w:right="320" w:rightChars="100"/>
      <w:rPr>
        <w:rStyle w:val="13"/>
        <w:rFonts w:hint="eastAsia" w:ascii="宋体" w:hAnsi="宋体"/>
        <w:sz w:val="28"/>
        <w:szCs w:val="28"/>
      </w:rPr>
    </w:pPr>
    <w:r>
      <w:rPr>
        <w:rStyle w:val="13"/>
        <w:rFonts w:hint="eastAsia" w:ascii="宋体" w:hAnsi="宋体"/>
        <w:sz w:val="28"/>
        <w:szCs w:val="28"/>
      </w:rPr>
      <w:t xml:space="preserve">— </w:t>
    </w:r>
    <w:r>
      <w:rPr>
        <w:rFonts w:ascii="宋体" w:hAnsi="宋体"/>
        <w:sz w:val="28"/>
        <w:szCs w:val="28"/>
      </w:rPr>
      <w:fldChar w:fldCharType="begin"/>
    </w:r>
    <w:r>
      <w:rPr>
        <w:rStyle w:val="13"/>
        <w:rFonts w:ascii="宋体" w:hAnsi="宋体"/>
        <w:sz w:val="28"/>
        <w:szCs w:val="28"/>
      </w:rPr>
      <w:instrText xml:space="preserve">PAGE  </w:instrText>
    </w:r>
    <w:r>
      <w:rPr>
        <w:rFonts w:ascii="宋体" w:hAnsi="宋体"/>
        <w:sz w:val="28"/>
        <w:szCs w:val="28"/>
      </w:rPr>
      <w:fldChar w:fldCharType="separate"/>
    </w:r>
    <w:r>
      <w:rPr>
        <w:rStyle w:val="13"/>
        <w:rFonts w:ascii="宋体" w:hAnsi="宋体"/>
        <w:sz w:val="28"/>
        <w:szCs w:val="28"/>
      </w:rPr>
      <w:t>14</w:t>
    </w:r>
    <w:r>
      <w:rPr>
        <w:rFonts w:ascii="宋体" w:hAnsi="宋体"/>
        <w:sz w:val="28"/>
        <w:szCs w:val="28"/>
      </w:rPr>
      <w:fldChar w:fldCharType="end"/>
    </w:r>
    <w:r>
      <w:rPr>
        <w:rStyle w:val="13"/>
        <w:rFonts w:hint="eastAsia" w:ascii="宋体" w:hAnsi="宋体"/>
        <w:sz w:val="28"/>
        <w:szCs w:val="28"/>
      </w:rPr>
      <w:t xml:space="preserve"> —</w:t>
    </w:r>
  </w:p>
  <w:p w14:paraId="3FB3C201">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074711">
    <w:pPr>
      <w:pStyle w:val="5"/>
      <w:framePr w:wrap="around" w:vAnchor="text" w:hAnchor="margin" w:xAlign="outside" w:y="1"/>
      <w:rPr>
        <w:rStyle w:val="13"/>
      </w:rPr>
    </w:pPr>
    <w:r>
      <w:fldChar w:fldCharType="begin"/>
    </w:r>
    <w:r>
      <w:rPr>
        <w:rStyle w:val="13"/>
      </w:rPr>
      <w:instrText xml:space="preserve">PAGE  </w:instrText>
    </w:r>
    <w:r>
      <w:fldChar w:fldCharType="end"/>
    </w:r>
  </w:p>
  <w:p w14:paraId="6E46AF6A">
    <w:pPr>
      <w:pStyle w:val="5"/>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58"/>
  <w:drawingGridVerticalSpacing w:val="587"/>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3100"/>
    <w:rsid w:val="00001CEF"/>
    <w:rsid w:val="0000202D"/>
    <w:rsid w:val="00006200"/>
    <w:rsid w:val="000062C7"/>
    <w:rsid w:val="00007507"/>
    <w:rsid w:val="00007544"/>
    <w:rsid w:val="00025DCA"/>
    <w:rsid w:val="000267C4"/>
    <w:rsid w:val="00032E2A"/>
    <w:rsid w:val="000437CA"/>
    <w:rsid w:val="00055FB8"/>
    <w:rsid w:val="000576C7"/>
    <w:rsid w:val="00062318"/>
    <w:rsid w:val="000816F6"/>
    <w:rsid w:val="0008450E"/>
    <w:rsid w:val="000852D9"/>
    <w:rsid w:val="000A13E2"/>
    <w:rsid w:val="000A195C"/>
    <w:rsid w:val="000A204A"/>
    <w:rsid w:val="000A2E90"/>
    <w:rsid w:val="000A616A"/>
    <w:rsid w:val="000B2208"/>
    <w:rsid w:val="000B5980"/>
    <w:rsid w:val="000B5EAF"/>
    <w:rsid w:val="000B723F"/>
    <w:rsid w:val="000C2E89"/>
    <w:rsid w:val="000C78F2"/>
    <w:rsid w:val="000D30CA"/>
    <w:rsid w:val="000D6E74"/>
    <w:rsid w:val="000E115B"/>
    <w:rsid w:val="000E46CA"/>
    <w:rsid w:val="000E5495"/>
    <w:rsid w:val="000E5CE8"/>
    <w:rsid w:val="00101FCF"/>
    <w:rsid w:val="001040E3"/>
    <w:rsid w:val="00106E4A"/>
    <w:rsid w:val="00106ED0"/>
    <w:rsid w:val="00112A86"/>
    <w:rsid w:val="001158E4"/>
    <w:rsid w:val="00115924"/>
    <w:rsid w:val="00121491"/>
    <w:rsid w:val="00132934"/>
    <w:rsid w:val="00132C77"/>
    <w:rsid w:val="00135934"/>
    <w:rsid w:val="00135FB4"/>
    <w:rsid w:val="00145A29"/>
    <w:rsid w:val="0015132D"/>
    <w:rsid w:val="00156006"/>
    <w:rsid w:val="001562CD"/>
    <w:rsid w:val="00157C42"/>
    <w:rsid w:val="00161A60"/>
    <w:rsid w:val="001629B6"/>
    <w:rsid w:val="001664F7"/>
    <w:rsid w:val="001666D1"/>
    <w:rsid w:val="00167857"/>
    <w:rsid w:val="00174533"/>
    <w:rsid w:val="00174926"/>
    <w:rsid w:val="00174CE5"/>
    <w:rsid w:val="00181204"/>
    <w:rsid w:val="00186F75"/>
    <w:rsid w:val="00186FD6"/>
    <w:rsid w:val="00190430"/>
    <w:rsid w:val="00192885"/>
    <w:rsid w:val="00197831"/>
    <w:rsid w:val="001A0518"/>
    <w:rsid w:val="001A5036"/>
    <w:rsid w:val="001A70F9"/>
    <w:rsid w:val="001B6F5F"/>
    <w:rsid w:val="001C0E63"/>
    <w:rsid w:val="001C3B7A"/>
    <w:rsid w:val="001C3E1F"/>
    <w:rsid w:val="001D40F9"/>
    <w:rsid w:val="001E2491"/>
    <w:rsid w:val="001E2978"/>
    <w:rsid w:val="001F5733"/>
    <w:rsid w:val="001F5C77"/>
    <w:rsid w:val="002010AB"/>
    <w:rsid w:val="0020623B"/>
    <w:rsid w:val="002108DA"/>
    <w:rsid w:val="002207CE"/>
    <w:rsid w:val="00225D40"/>
    <w:rsid w:val="00225DFD"/>
    <w:rsid w:val="00231319"/>
    <w:rsid w:val="002332B2"/>
    <w:rsid w:val="002351B4"/>
    <w:rsid w:val="00235B15"/>
    <w:rsid w:val="00237573"/>
    <w:rsid w:val="00243524"/>
    <w:rsid w:val="00257006"/>
    <w:rsid w:val="00261709"/>
    <w:rsid w:val="002618AA"/>
    <w:rsid w:val="00263A25"/>
    <w:rsid w:val="00281238"/>
    <w:rsid w:val="002827A6"/>
    <w:rsid w:val="0028301F"/>
    <w:rsid w:val="0029034C"/>
    <w:rsid w:val="00290E3F"/>
    <w:rsid w:val="00293538"/>
    <w:rsid w:val="00294C07"/>
    <w:rsid w:val="00296195"/>
    <w:rsid w:val="002A4662"/>
    <w:rsid w:val="002B2B9B"/>
    <w:rsid w:val="002B6924"/>
    <w:rsid w:val="002C43FE"/>
    <w:rsid w:val="002F1ACA"/>
    <w:rsid w:val="002F5022"/>
    <w:rsid w:val="002F583A"/>
    <w:rsid w:val="003031B0"/>
    <w:rsid w:val="00306786"/>
    <w:rsid w:val="00313187"/>
    <w:rsid w:val="0031495F"/>
    <w:rsid w:val="00332BBE"/>
    <w:rsid w:val="003338CA"/>
    <w:rsid w:val="00333EAE"/>
    <w:rsid w:val="00336993"/>
    <w:rsid w:val="003466CE"/>
    <w:rsid w:val="0034724A"/>
    <w:rsid w:val="003503D3"/>
    <w:rsid w:val="00353604"/>
    <w:rsid w:val="00355823"/>
    <w:rsid w:val="00361FDF"/>
    <w:rsid w:val="00363545"/>
    <w:rsid w:val="00363827"/>
    <w:rsid w:val="003653B1"/>
    <w:rsid w:val="00367BA5"/>
    <w:rsid w:val="00370367"/>
    <w:rsid w:val="00371B76"/>
    <w:rsid w:val="0038710C"/>
    <w:rsid w:val="00396489"/>
    <w:rsid w:val="00396C2F"/>
    <w:rsid w:val="00397611"/>
    <w:rsid w:val="003A2AD3"/>
    <w:rsid w:val="003A2E22"/>
    <w:rsid w:val="003A3C13"/>
    <w:rsid w:val="003A745B"/>
    <w:rsid w:val="003B1589"/>
    <w:rsid w:val="003B1BBF"/>
    <w:rsid w:val="003B2963"/>
    <w:rsid w:val="003B655B"/>
    <w:rsid w:val="003C2482"/>
    <w:rsid w:val="003C6650"/>
    <w:rsid w:val="003D0B72"/>
    <w:rsid w:val="003D3581"/>
    <w:rsid w:val="003E02E4"/>
    <w:rsid w:val="003F1177"/>
    <w:rsid w:val="003F47DB"/>
    <w:rsid w:val="00405586"/>
    <w:rsid w:val="0041058F"/>
    <w:rsid w:val="004165F3"/>
    <w:rsid w:val="00421A8D"/>
    <w:rsid w:val="00424268"/>
    <w:rsid w:val="004274A6"/>
    <w:rsid w:val="0043497D"/>
    <w:rsid w:val="00446037"/>
    <w:rsid w:val="0045022A"/>
    <w:rsid w:val="00452CE6"/>
    <w:rsid w:val="0045411A"/>
    <w:rsid w:val="00461073"/>
    <w:rsid w:val="00467333"/>
    <w:rsid w:val="00470A63"/>
    <w:rsid w:val="00472EB8"/>
    <w:rsid w:val="00475A43"/>
    <w:rsid w:val="004800CD"/>
    <w:rsid w:val="004805B1"/>
    <w:rsid w:val="004836B7"/>
    <w:rsid w:val="004949F6"/>
    <w:rsid w:val="004A6FCE"/>
    <w:rsid w:val="004B6F56"/>
    <w:rsid w:val="004C6AF2"/>
    <w:rsid w:val="004D01A6"/>
    <w:rsid w:val="004D13FA"/>
    <w:rsid w:val="004E1FF7"/>
    <w:rsid w:val="004E3ECB"/>
    <w:rsid w:val="004E6B01"/>
    <w:rsid w:val="004F5AC9"/>
    <w:rsid w:val="004F5CE5"/>
    <w:rsid w:val="00510A6A"/>
    <w:rsid w:val="00511247"/>
    <w:rsid w:val="00511E5D"/>
    <w:rsid w:val="00512A0A"/>
    <w:rsid w:val="0052012D"/>
    <w:rsid w:val="00520FD0"/>
    <w:rsid w:val="00525AC0"/>
    <w:rsid w:val="00530735"/>
    <w:rsid w:val="00531EB2"/>
    <w:rsid w:val="00537482"/>
    <w:rsid w:val="005413B8"/>
    <w:rsid w:val="005427B0"/>
    <w:rsid w:val="00547CF8"/>
    <w:rsid w:val="00552EB5"/>
    <w:rsid w:val="0056264D"/>
    <w:rsid w:val="00567D02"/>
    <w:rsid w:val="00575904"/>
    <w:rsid w:val="005870A0"/>
    <w:rsid w:val="00590A64"/>
    <w:rsid w:val="00593040"/>
    <w:rsid w:val="00595109"/>
    <w:rsid w:val="005A0A9A"/>
    <w:rsid w:val="005B6368"/>
    <w:rsid w:val="005C0FB4"/>
    <w:rsid w:val="005C10E3"/>
    <w:rsid w:val="005C2BD1"/>
    <w:rsid w:val="005C790E"/>
    <w:rsid w:val="005D0707"/>
    <w:rsid w:val="005D14E4"/>
    <w:rsid w:val="005D1A63"/>
    <w:rsid w:val="005D6DC4"/>
    <w:rsid w:val="005D7330"/>
    <w:rsid w:val="005E097C"/>
    <w:rsid w:val="00600FF3"/>
    <w:rsid w:val="006061A8"/>
    <w:rsid w:val="0061029B"/>
    <w:rsid w:val="00611E9C"/>
    <w:rsid w:val="00613D26"/>
    <w:rsid w:val="00617704"/>
    <w:rsid w:val="006179A7"/>
    <w:rsid w:val="00627F13"/>
    <w:rsid w:val="006465F1"/>
    <w:rsid w:val="006479C6"/>
    <w:rsid w:val="0065056D"/>
    <w:rsid w:val="00653C30"/>
    <w:rsid w:val="00661EAC"/>
    <w:rsid w:val="006620CC"/>
    <w:rsid w:val="006622C0"/>
    <w:rsid w:val="00662887"/>
    <w:rsid w:val="006654D8"/>
    <w:rsid w:val="00665F9C"/>
    <w:rsid w:val="00671850"/>
    <w:rsid w:val="0067247E"/>
    <w:rsid w:val="006763A3"/>
    <w:rsid w:val="00690EE6"/>
    <w:rsid w:val="00691713"/>
    <w:rsid w:val="00694E5E"/>
    <w:rsid w:val="006A1C6B"/>
    <w:rsid w:val="006A380F"/>
    <w:rsid w:val="006A602C"/>
    <w:rsid w:val="006C46DC"/>
    <w:rsid w:val="006C6DA4"/>
    <w:rsid w:val="006C6E1D"/>
    <w:rsid w:val="006C70A8"/>
    <w:rsid w:val="006C7CD2"/>
    <w:rsid w:val="006D3E7B"/>
    <w:rsid w:val="006D663F"/>
    <w:rsid w:val="006E4782"/>
    <w:rsid w:val="006F7BD5"/>
    <w:rsid w:val="00702DA7"/>
    <w:rsid w:val="00703DBD"/>
    <w:rsid w:val="007052F6"/>
    <w:rsid w:val="007161C5"/>
    <w:rsid w:val="0072797A"/>
    <w:rsid w:val="007317EE"/>
    <w:rsid w:val="00731A5B"/>
    <w:rsid w:val="00736E76"/>
    <w:rsid w:val="0073754C"/>
    <w:rsid w:val="0074143F"/>
    <w:rsid w:val="00741902"/>
    <w:rsid w:val="007422DD"/>
    <w:rsid w:val="00745451"/>
    <w:rsid w:val="007504E9"/>
    <w:rsid w:val="00754B20"/>
    <w:rsid w:val="00755F41"/>
    <w:rsid w:val="0076559D"/>
    <w:rsid w:val="007743F2"/>
    <w:rsid w:val="00774608"/>
    <w:rsid w:val="00777BF9"/>
    <w:rsid w:val="00786F4F"/>
    <w:rsid w:val="007956DE"/>
    <w:rsid w:val="007A5DBB"/>
    <w:rsid w:val="007C319B"/>
    <w:rsid w:val="007D0CDD"/>
    <w:rsid w:val="007D2F05"/>
    <w:rsid w:val="007D4E7D"/>
    <w:rsid w:val="007D4FE3"/>
    <w:rsid w:val="007D72FA"/>
    <w:rsid w:val="007E2F72"/>
    <w:rsid w:val="007E3A16"/>
    <w:rsid w:val="007E6679"/>
    <w:rsid w:val="007E6972"/>
    <w:rsid w:val="007F0914"/>
    <w:rsid w:val="007F4642"/>
    <w:rsid w:val="008024CC"/>
    <w:rsid w:val="008025AD"/>
    <w:rsid w:val="00806942"/>
    <w:rsid w:val="00823C9E"/>
    <w:rsid w:val="00837013"/>
    <w:rsid w:val="00843DD5"/>
    <w:rsid w:val="008576CB"/>
    <w:rsid w:val="008618B1"/>
    <w:rsid w:val="00862EE7"/>
    <w:rsid w:val="00863E68"/>
    <w:rsid w:val="00864649"/>
    <w:rsid w:val="008671FE"/>
    <w:rsid w:val="00871DFB"/>
    <w:rsid w:val="008725E5"/>
    <w:rsid w:val="00874EB2"/>
    <w:rsid w:val="008769EF"/>
    <w:rsid w:val="0088056D"/>
    <w:rsid w:val="00884C00"/>
    <w:rsid w:val="00884D19"/>
    <w:rsid w:val="00884E67"/>
    <w:rsid w:val="00894F2F"/>
    <w:rsid w:val="008A0E48"/>
    <w:rsid w:val="008A10E9"/>
    <w:rsid w:val="008A44C0"/>
    <w:rsid w:val="008B040D"/>
    <w:rsid w:val="008B18BA"/>
    <w:rsid w:val="008B6EF6"/>
    <w:rsid w:val="008C200F"/>
    <w:rsid w:val="008C4EEE"/>
    <w:rsid w:val="008D0ED0"/>
    <w:rsid w:val="008E1A51"/>
    <w:rsid w:val="008E2F4E"/>
    <w:rsid w:val="008E72DB"/>
    <w:rsid w:val="008F1A3C"/>
    <w:rsid w:val="008F461D"/>
    <w:rsid w:val="008F6399"/>
    <w:rsid w:val="008F6998"/>
    <w:rsid w:val="00900A9C"/>
    <w:rsid w:val="0090571D"/>
    <w:rsid w:val="0090646A"/>
    <w:rsid w:val="00924137"/>
    <w:rsid w:val="00927D33"/>
    <w:rsid w:val="009309E6"/>
    <w:rsid w:val="0093594F"/>
    <w:rsid w:val="009448ED"/>
    <w:rsid w:val="00946341"/>
    <w:rsid w:val="009506FE"/>
    <w:rsid w:val="00954516"/>
    <w:rsid w:val="0095526F"/>
    <w:rsid w:val="009577A2"/>
    <w:rsid w:val="00966D5D"/>
    <w:rsid w:val="00975ADB"/>
    <w:rsid w:val="00983100"/>
    <w:rsid w:val="0098400F"/>
    <w:rsid w:val="0098600D"/>
    <w:rsid w:val="00994571"/>
    <w:rsid w:val="0099522C"/>
    <w:rsid w:val="009A0503"/>
    <w:rsid w:val="009A1515"/>
    <w:rsid w:val="009A2DA9"/>
    <w:rsid w:val="009A3EBF"/>
    <w:rsid w:val="009A6467"/>
    <w:rsid w:val="009A6505"/>
    <w:rsid w:val="009B338C"/>
    <w:rsid w:val="009B36C4"/>
    <w:rsid w:val="009B43A5"/>
    <w:rsid w:val="009B4CB3"/>
    <w:rsid w:val="009C16F9"/>
    <w:rsid w:val="009D0137"/>
    <w:rsid w:val="009D16B9"/>
    <w:rsid w:val="009D72D0"/>
    <w:rsid w:val="009E095A"/>
    <w:rsid w:val="009E6DCF"/>
    <w:rsid w:val="009F1825"/>
    <w:rsid w:val="009F62FD"/>
    <w:rsid w:val="00A00FA3"/>
    <w:rsid w:val="00A013D4"/>
    <w:rsid w:val="00A04164"/>
    <w:rsid w:val="00A05183"/>
    <w:rsid w:val="00A05694"/>
    <w:rsid w:val="00A05C98"/>
    <w:rsid w:val="00A07E60"/>
    <w:rsid w:val="00A13E80"/>
    <w:rsid w:val="00A14872"/>
    <w:rsid w:val="00A379B7"/>
    <w:rsid w:val="00A37A63"/>
    <w:rsid w:val="00A42070"/>
    <w:rsid w:val="00A570C2"/>
    <w:rsid w:val="00A64624"/>
    <w:rsid w:val="00A72E6A"/>
    <w:rsid w:val="00A80942"/>
    <w:rsid w:val="00A82C93"/>
    <w:rsid w:val="00A85790"/>
    <w:rsid w:val="00A86D62"/>
    <w:rsid w:val="00A92262"/>
    <w:rsid w:val="00AB1565"/>
    <w:rsid w:val="00AB32ED"/>
    <w:rsid w:val="00AC383E"/>
    <w:rsid w:val="00AC6DF6"/>
    <w:rsid w:val="00AD2F00"/>
    <w:rsid w:val="00AD4886"/>
    <w:rsid w:val="00AE3866"/>
    <w:rsid w:val="00AE4C00"/>
    <w:rsid w:val="00B01F5A"/>
    <w:rsid w:val="00B078A2"/>
    <w:rsid w:val="00B161BF"/>
    <w:rsid w:val="00B22AB0"/>
    <w:rsid w:val="00B231BD"/>
    <w:rsid w:val="00B3146F"/>
    <w:rsid w:val="00B379BB"/>
    <w:rsid w:val="00B40603"/>
    <w:rsid w:val="00B4343D"/>
    <w:rsid w:val="00B4597D"/>
    <w:rsid w:val="00B45E3C"/>
    <w:rsid w:val="00B461DE"/>
    <w:rsid w:val="00B506CB"/>
    <w:rsid w:val="00B51C63"/>
    <w:rsid w:val="00B61A98"/>
    <w:rsid w:val="00B648EC"/>
    <w:rsid w:val="00B75096"/>
    <w:rsid w:val="00B76425"/>
    <w:rsid w:val="00B854F3"/>
    <w:rsid w:val="00B967D1"/>
    <w:rsid w:val="00BB5B84"/>
    <w:rsid w:val="00BB69D2"/>
    <w:rsid w:val="00BB7BC5"/>
    <w:rsid w:val="00BC08F8"/>
    <w:rsid w:val="00BC1069"/>
    <w:rsid w:val="00BC475B"/>
    <w:rsid w:val="00BC49BE"/>
    <w:rsid w:val="00BE2F07"/>
    <w:rsid w:val="00BE3D8A"/>
    <w:rsid w:val="00C0134B"/>
    <w:rsid w:val="00C018A3"/>
    <w:rsid w:val="00C01C13"/>
    <w:rsid w:val="00C063E0"/>
    <w:rsid w:val="00C32D57"/>
    <w:rsid w:val="00C43FC2"/>
    <w:rsid w:val="00C47BF3"/>
    <w:rsid w:val="00C500C3"/>
    <w:rsid w:val="00C50D8E"/>
    <w:rsid w:val="00C61D2C"/>
    <w:rsid w:val="00C62D0C"/>
    <w:rsid w:val="00C631C8"/>
    <w:rsid w:val="00C70319"/>
    <w:rsid w:val="00C743B0"/>
    <w:rsid w:val="00C778EB"/>
    <w:rsid w:val="00C77BAB"/>
    <w:rsid w:val="00C8186A"/>
    <w:rsid w:val="00C82761"/>
    <w:rsid w:val="00C8757B"/>
    <w:rsid w:val="00C9126C"/>
    <w:rsid w:val="00C94A84"/>
    <w:rsid w:val="00C960CA"/>
    <w:rsid w:val="00C965E4"/>
    <w:rsid w:val="00CA165C"/>
    <w:rsid w:val="00CA277B"/>
    <w:rsid w:val="00CA39A3"/>
    <w:rsid w:val="00CA4516"/>
    <w:rsid w:val="00CB000E"/>
    <w:rsid w:val="00CB326F"/>
    <w:rsid w:val="00CC101C"/>
    <w:rsid w:val="00CC24A4"/>
    <w:rsid w:val="00CC3E0C"/>
    <w:rsid w:val="00CC5154"/>
    <w:rsid w:val="00CD0F98"/>
    <w:rsid w:val="00CD1714"/>
    <w:rsid w:val="00CE57BB"/>
    <w:rsid w:val="00CF12B7"/>
    <w:rsid w:val="00CF2B57"/>
    <w:rsid w:val="00CF47B3"/>
    <w:rsid w:val="00CF4DEA"/>
    <w:rsid w:val="00CF5D22"/>
    <w:rsid w:val="00CF7A6F"/>
    <w:rsid w:val="00D01604"/>
    <w:rsid w:val="00D13FEB"/>
    <w:rsid w:val="00D17A82"/>
    <w:rsid w:val="00D338CC"/>
    <w:rsid w:val="00D40A35"/>
    <w:rsid w:val="00D4539E"/>
    <w:rsid w:val="00D50B50"/>
    <w:rsid w:val="00D60B25"/>
    <w:rsid w:val="00D60F24"/>
    <w:rsid w:val="00D60F35"/>
    <w:rsid w:val="00D63C49"/>
    <w:rsid w:val="00D640B3"/>
    <w:rsid w:val="00D65B79"/>
    <w:rsid w:val="00D715E6"/>
    <w:rsid w:val="00D741B6"/>
    <w:rsid w:val="00D74F0F"/>
    <w:rsid w:val="00D75B3C"/>
    <w:rsid w:val="00D82FAE"/>
    <w:rsid w:val="00D839AF"/>
    <w:rsid w:val="00D843B1"/>
    <w:rsid w:val="00D84F32"/>
    <w:rsid w:val="00D872EA"/>
    <w:rsid w:val="00D92065"/>
    <w:rsid w:val="00D97283"/>
    <w:rsid w:val="00DA1CE5"/>
    <w:rsid w:val="00DA32A4"/>
    <w:rsid w:val="00DB4D40"/>
    <w:rsid w:val="00DB50D2"/>
    <w:rsid w:val="00DB559D"/>
    <w:rsid w:val="00DC21D6"/>
    <w:rsid w:val="00DC508F"/>
    <w:rsid w:val="00DC5573"/>
    <w:rsid w:val="00DC5D39"/>
    <w:rsid w:val="00DC7D4A"/>
    <w:rsid w:val="00DD11E6"/>
    <w:rsid w:val="00DD17CF"/>
    <w:rsid w:val="00DD18E2"/>
    <w:rsid w:val="00DD1A65"/>
    <w:rsid w:val="00DD7E18"/>
    <w:rsid w:val="00DE29FB"/>
    <w:rsid w:val="00DE427A"/>
    <w:rsid w:val="00DE5587"/>
    <w:rsid w:val="00DE7764"/>
    <w:rsid w:val="00DE7A11"/>
    <w:rsid w:val="00DE7F16"/>
    <w:rsid w:val="00DF11F8"/>
    <w:rsid w:val="00DF2F74"/>
    <w:rsid w:val="00DF576E"/>
    <w:rsid w:val="00DF7905"/>
    <w:rsid w:val="00E02065"/>
    <w:rsid w:val="00E070D7"/>
    <w:rsid w:val="00E0767B"/>
    <w:rsid w:val="00E20E7D"/>
    <w:rsid w:val="00E2273D"/>
    <w:rsid w:val="00E26FAA"/>
    <w:rsid w:val="00E34F16"/>
    <w:rsid w:val="00E41835"/>
    <w:rsid w:val="00E42FB1"/>
    <w:rsid w:val="00E4355E"/>
    <w:rsid w:val="00E4603B"/>
    <w:rsid w:val="00E5728C"/>
    <w:rsid w:val="00E5792F"/>
    <w:rsid w:val="00E63979"/>
    <w:rsid w:val="00E63A63"/>
    <w:rsid w:val="00E67407"/>
    <w:rsid w:val="00E67793"/>
    <w:rsid w:val="00E70328"/>
    <w:rsid w:val="00E758E5"/>
    <w:rsid w:val="00E80E54"/>
    <w:rsid w:val="00E81C65"/>
    <w:rsid w:val="00E83902"/>
    <w:rsid w:val="00E84D70"/>
    <w:rsid w:val="00E85376"/>
    <w:rsid w:val="00E93FCA"/>
    <w:rsid w:val="00E947C5"/>
    <w:rsid w:val="00EA0848"/>
    <w:rsid w:val="00EA1060"/>
    <w:rsid w:val="00EA18EC"/>
    <w:rsid w:val="00EA1AD4"/>
    <w:rsid w:val="00EB3A28"/>
    <w:rsid w:val="00EB4067"/>
    <w:rsid w:val="00EB51CC"/>
    <w:rsid w:val="00EC0D9A"/>
    <w:rsid w:val="00ED44C8"/>
    <w:rsid w:val="00ED59DD"/>
    <w:rsid w:val="00EE2AE5"/>
    <w:rsid w:val="00EF0474"/>
    <w:rsid w:val="00EF3192"/>
    <w:rsid w:val="00EF612E"/>
    <w:rsid w:val="00F02FAA"/>
    <w:rsid w:val="00F05050"/>
    <w:rsid w:val="00F0512A"/>
    <w:rsid w:val="00F17F10"/>
    <w:rsid w:val="00F37AA6"/>
    <w:rsid w:val="00F414AE"/>
    <w:rsid w:val="00F415D9"/>
    <w:rsid w:val="00F42735"/>
    <w:rsid w:val="00F46E50"/>
    <w:rsid w:val="00F478E8"/>
    <w:rsid w:val="00F51C63"/>
    <w:rsid w:val="00F53BBE"/>
    <w:rsid w:val="00F55567"/>
    <w:rsid w:val="00F5731C"/>
    <w:rsid w:val="00F61965"/>
    <w:rsid w:val="00F77A44"/>
    <w:rsid w:val="00F80617"/>
    <w:rsid w:val="00F87E92"/>
    <w:rsid w:val="00F908AD"/>
    <w:rsid w:val="00F9090A"/>
    <w:rsid w:val="00F96433"/>
    <w:rsid w:val="00FA580B"/>
    <w:rsid w:val="00FB19AF"/>
    <w:rsid w:val="00FB55E8"/>
    <w:rsid w:val="00FC0C52"/>
    <w:rsid w:val="00FC1493"/>
    <w:rsid w:val="00FC3F81"/>
    <w:rsid w:val="00FC72E2"/>
    <w:rsid w:val="00FC77CE"/>
    <w:rsid w:val="00FD60F6"/>
    <w:rsid w:val="00FE23D7"/>
    <w:rsid w:val="00FE29B0"/>
    <w:rsid w:val="00FE3EF0"/>
    <w:rsid w:val="00FE5EE8"/>
    <w:rsid w:val="00FE5F99"/>
    <w:rsid w:val="00FF0511"/>
    <w:rsid w:val="00FF2775"/>
    <w:rsid w:val="00FF4BFD"/>
    <w:rsid w:val="032305D8"/>
    <w:rsid w:val="04AC51BF"/>
    <w:rsid w:val="058D14E6"/>
    <w:rsid w:val="072D722A"/>
    <w:rsid w:val="1946202A"/>
    <w:rsid w:val="1A607153"/>
    <w:rsid w:val="1B1C6976"/>
    <w:rsid w:val="1DFD48B6"/>
    <w:rsid w:val="1FF4A6FA"/>
    <w:rsid w:val="223D28D1"/>
    <w:rsid w:val="22C17756"/>
    <w:rsid w:val="25AE5ED8"/>
    <w:rsid w:val="2B5D4897"/>
    <w:rsid w:val="2C056F06"/>
    <w:rsid w:val="30352E62"/>
    <w:rsid w:val="30370BE1"/>
    <w:rsid w:val="35FB3E96"/>
    <w:rsid w:val="381D7F2A"/>
    <w:rsid w:val="3D246F70"/>
    <w:rsid w:val="41ED121C"/>
    <w:rsid w:val="41F24868"/>
    <w:rsid w:val="440C24BD"/>
    <w:rsid w:val="4C583BC9"/>
    <w:rsid w:val="4DDF1C48"/>
    <w:rsid w:val="53F003A0"/>
    <w:rsid w:val="5BB727DA"/>
    <w:rsid w:val="611827D5"/>
    <w:rsid w:val="6EE844E0"/>
    <w:rsid w:val="70605C5A"/>
    <w:rsid w:val="74C31F5D"/>
    <w:rsid w:val="760205D7"/>
    <w:rsid w:val="79963F6B"/>
    <w:rsid w:val="7D4D49B8"/>
    <w:rsid w:val="7DCC64A7"/>
    <w:rsid w:val="DF2DE25E"/>
    <w:rsid w:val="E255E725"/>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12">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2">
    <w:name w:val="Body Text"/>
    <w:basedOn w:val="1"/>
    <w:link w:val="18"/>
    <w:qFormat/>
    <w:uiPriority w:val="0"/>
    <w:rPr>
      <w:szCs w:val="20"/>
    </w:rPr>
  </w:style>
  <w:style w:type="paragraph" w:styleId="3">
    <w:name w:val="Body Text Indent"/>
    <w:basedOn w:val="1"/>
    <w:link w:val="16"/>
    <w:qFormat/>
    <w:uiPriority w:val="0"/>
    <w:pPr>
      <w:spacing w:after="120"/>
      <w:ind w:left="420" w:leftChars="200"/>
    </w:pPr>
  </w:style>
  <w:style w:type="paragraph" w:styleId="4">
    <w:name w:val="Balloon Text"/>
    <w:basedOn w:val="1"/>
    <w:link w:val="22"/>
    <w:qFormat/>
    <w:uiPriority w:val="0"/>
    <w:rPr>
      <w:sz w:val="18"/>
      <w:szCs w:val="18"/>
    </w:rPr>
  </w:style>
  <w:style w:type="paragraph" w:styleId="5">
    <w:name w:val="footer"/>
    <w:basedOn w:val="1"/>
    <w:link w:val="20"/>
    <w:qFormat/>
    <w:uiPriority w:val="0"/>
    <w:pPr>
      <w:tabs>
        <w:tab w:val="center" w:pos="4153"/>
        <w:tab w:val="right" w:pos="8306"/>
      </w:tabs>
      <w:snapToGrid w:val="0"/>
      <w:jc w:val="left"/>
    </w:pPr>
    <w:rPr>
      <w:sz w:val="18"/>
      <w:szCs w:val="18"/>
    </w:rPr>
  </w:style>
  <w:style w:type="paragraph" w:styleId="6">
    <w:name w:val="header"/>
    <w:basedOn w:val="1"/>
    <w:link w:val="19"/>
    <w:qFormat/>
    <w:uiPriority w:val="0"/>
    <w:pPr>
      <w:pBdr>
        <w:bottom w:val="single" w:color="auto" w:sz="6" w:space="1"/>
      </w:pBdr>
      <w:tabs>
        <w:tab w:val="center" w:pos="4153"/>
        <w:tab w:val="right" w:pos="8306"/>
      </w:tabs>
      <w:snapToGrid w:val="0"/>
      <w:jc w:val="center"/>
    </w:pPr>
    <w:rPr>
      <w:sz w:val="18"/>
      <w:szCs w:val="18"/>
    </w:rPr>
  </w:style>
  <w:style w:type="paragraph" w:styleId="7">
    <w:name w:val="footnote text"/>
    <w:basedOn w:val="1"/>
    <w:next w:val="8"/>
    <w:link w:val="21"/>
    <w:qFormat/>
    <w:uiPriority w:val="0"/>
    <w:pPr>
      <w:snapToGrid w:val="0"/>
      <w:jc w:val="left"/>
    </w:pPr>
    <w:rPr>
      <w:sz w:val="18"/>
      <w:szCs w:val="20"/>
    </w:rPr>
  </w:style>
  <w:style w:type="paragraph" w:styleId="8">
    <w:name w:val="Body Text First Indent 2"/>
    <w:basedOn w:val="3"/>
    <w:link w:val="15"/>
    <w:qFormat/>
    <w:uiPriority w:val="0"/>
    <w:pPr>
      <w:ind w:firstLine="420" w:firstLineChars="200"/>
    </w:p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page number"/>
    <w:basedOn w:val="12"/>
    <w:qFormat/>
    <w:uiPriority w:val="0"/>
  </w:style>
  <w:style w:type="character" w:styleId="14">
    <w:name w:val="Hyperlink"/>
    <w:unhideWhenUsed/>
    <w:qFormat/>
    <w:uiPriority w:val="0"/>
    <w:rPr>
      <w:color w:val="0563C1"/>
      <w:u w:val="single"/>
    </w:rPr>
  </w:style>
  <w:style w:type="character" w:customStyle="1" w:styleId="15">
    <w:name w:val="正文首行缩进 2 字符"/>
    <w:basedOn w:val="16"/>
    <w:link w:val="8"/>
    <w:qFormat/>
    <w:uiPriority w:val="0"/>
  </w:style>
  <w:style w:type="character" w:customStyle="1" w:styleId="16">
    <w:name w:val="正文文本缩进 字符"/>
    <w:link w:val="3"/>
    <w:qFormat/>
    <w:uiPriority w:val="0"/>
    <w:rPr>
      <w:kern w:val="2"/>
      <w:sz w:val="32"/>
      <w:szCs w:val="32"/>
    </w:rPr>
  </w:style>
  <w:style w:type="character" w:customStyle="1" w:styleId="17">
    <w:name w:val="font01"/>
    <w:qFormat/>
    <w:uiPriority w:val="0"/>
    <w:rPr>
      <w:rFonts w:hint="eastAsia" w:ascii="宋体" w:hAnsi="宋体" w:eastAsia="宋体" w:cs="宋体"/>
      <w:color w:val="000000"/>
      <w:sz w:val="32"/>
      <w:szCs w:val="32"/>
      <w:u w:val="none"/>
    </w:rPr>
  </w:style>
  <w:style w:type="character" w:customStyle="1" w:styleId="18">
    <w:name w:val="正文文本 字符"/>
    <w:link w:val="2"/>
    <w:qFormat/>
    <w:uiPriority w:val="0"/>
    <w:rPr>
      <w:kern w:val="2"/>
      <w:sz w:val="32"/>
    </w:rPr>
  </w:style>
  <w:style w:type="character" w:customStyle="1" w:styleId="19">
    <w:name w:val="页眉 字符"/>
    <w:link w:val="6"/>
    <w:qFormat/>
    <w:uiPriority w:val="0"/>
    <w:rPr>
      <w:kern w:val="2"/>
      <w:sz w:val="18"/>
      <w:szCs w:val="18"/>
    </w:rPr>
  </w:style>
  <w:style w:type="character" w:customStyle="1" w:styleId="20">
    <w:name w:val="页脚 字符"/>
    <w:link w:val="5"/>
    <w:qFormat/>
    <w:uiPriority w:val="0"/>
    <w:rPr>
      <w:kern w:val="2"/>
      <w:sz w:val="18"/>
      <w:szCs w:val="18"/>
    </w:rPr>
  </w:style>
  <w:style w:type="character" w:customStyle="1" w:styleId="21">
    <w:name w:val="脚注文本 字符"/>
    <w:link w:val="7"/>
    <w:qFormat/>
    <w:uiPriority w:val="0"/>
    <w:rPr>
      <w:kern w:val="2"/>
      <w:sz w:val="18"/>
    </w:rPr>
  </w:style>
  <w:style w:type="character" w:customStyle="1" w:styleId="22">
    <w:name w:val="批注框文本 字符"/>
    <w:link w:val="4"/>
    <w:qFormat/>
    <w:uiPriority w:val="0"/>
    <w:rPr>
      <w:kern w:val="2"/>
      <w:sz w:val="18"/>
      <w:szCs w:val="18"/>
    </w:rPr>
  </w:style>
  <w:style w:type="paragraph" w:customStyle="1" w:styleId="23">
    <w:name w:val="Default Paragraph Font Para Char Char Char Char Char Char"/>
    <w:basedOn w:val="1"/>
    <w:qFormat/>
    <w:uiPriority w:val="0"/>
    <w:pPr>
      <w:widowControl/>
      <w:spacing w:after="160" w:line="240" w:lineRule="exact"/>
      <w:jc w:val="left"/>
    </w:pPr>
    <w:rPr>
      <w:sz w:val="21"/>
      <w:szCs w:val="20"/>
    </w:rPr>
  </w:style>
  <w:style w:type="paragraph" w:customStyle="1" w:styleId="24">
    <w:name w:val="Char Char Char Char Char Char Char"/>
    <w:basedOn w:val="1"/>
    <w:qFormat/>
    <w:uiPriority w:val="0"/>
    <w:pPr>
      <w:widowControl/>
      <w:spacing w:after="160" w:line="240" w:lineRule="exact"/>
      <w:jc w:val="left"/>
    </w:pPr>
    <w:rPr>
      <w:sz w:val="21"/>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MC SYSTEM</Company>
  <Pages>5</Pages>
  <Words>6174</Words>
  <Characters>6556</Characters>
  <Lines>49</Lines>
  <Paragraphs>13</Paragraphs>
  <TotalTime>16</TotalTime>
  <ScaleCrop>false</ScaleCrop>
  <LinksUpToDate>false</LinksUpToDate>
  <CharactersWithSpaces>6590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2021-05-31T22:25:00Z</dcterms:created>
  <dc:creator>User</dc:creator>
  <cp:lastModifiedBy>大哥。差不多得了</cp:lastModifiedBy>
  <cp:lastPrinted>2025-05-13T06:13:00Z</cp:lastPrinted>
  <dcterms:modified xsi:type="dcterms:W3CDTF">2025-05-13T06:36:03Z</dcterms:modified>
  <dc:title>山东省人力资源和社会保障厅办公室           2017年 月 日印发</dc:title>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E4AEAECFF56546039727ADAE3C670044_13</vt:lpwstr>
  </property>
  <property fmtid="{D5CDD505-2E9C-101B-9397-08002B2CF9AE}" pid="4" name="KSOTemplateDocerSaveRecord">
    <vt:lpwstr>eyJoZGlkIjoiYTU2NmQwNzY2ZDAxZGIwNDdiZGNlZTFmZTg1YWQ4ODEiLCJ1c2VySWQiOiIzMTM3MTAyMjcifQ==</vt:lpwstr>
  </property>
</Properties>
</file>