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4150" w:type="dxa"/>
        <w:tblInd w:w="0" w:type="dxa"/>
        <w:shd w:val="clear" w:color="auto" w:fill="auto"/>
        <w:tblLayout w:type="fixed"/>
        <w:tblCellMar>
          <w:top w:w="0" w:type="dxa"/>
          <w:left w:w="0" w:type="dxa"/>
          <w:bottom w:w="0" w:type="dxa"/>
          <w:right w:w="0" w:type="dxa"/>
        </w:tblCellMar>
      </w:tblPr>
      <w:tblGrid>
        <w:gridCol w:w="546"/>
        <w:gridCol w:w="1265"/>
        <w:gridCol w:w="2604"/>
        <w:gridCol w:w="1836"/>
        <w:gridCol w:w="4325"/>
        <w:gridCol w:w="1175"/>
        <w:gridCol w:w="1325"/>
        <w:gridCol w:w="1074"/>
      </w:tblGrid>
      <w:tr>
        <w:tblPrEx>
          <w:tblCellMar>
            <w:top w:w="0" w:type="dxa"/>
            <w:left w:w="0" w:type="dxa"/>
            <w:bottom w:w="0" w:type="dxa"/>
            <w:right w:w="0" w:type="dxa"/>
          </w:tblCellMar>
        </w:tblPrEx>
        <w:trPr>
          <w:trHeight w:val="578" w:hRule="atLeast"/>
        </w:trPr>
        <w:tc>
          <w:tcPr>
            <w:tcW w:w="14150" w:type="dxa"/>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default" w:ascii="黑体" w:hAnsi="黑体" w:eastAsia="黑体" w:cs="黑体"/>
                <w:i w:val="0"/>
                <w:color w:val="000000"/>
                <w:kern w:val="0"/>
                <w:sz w:val="32"/>
                <w:szCs w:val="32"/>
                <w:u w:val="none"/>
                <w:lang w:val="en-US" w:eastAsia="zh-CN" w:bidi="ar"/>
              </w:rPr>
            </w:pPr>
            <w:bookmarkStart w:id="0" w:name="_GoBack"/>
            <w:bookmarkEnd w:id="0"/>
            <w:r>
              <w:rPr>
                <w:rFonts w:hint="eastAsia" w:ascii="黑体" w:hAnsi="黑体" w:eastAsia="黑体" w:cs="黑体"/>
                <w:i w:val="0"/>
                <w:color w:val="000000"/>
                <w:kern w:val="0"/>
                <w:sz w:val="32"/>
                <w:szCs w:val="32"/>
                <w:u w:val="none"/>
                <w:lang w:val="en-US" w:eastAsia="zh-CN" w:bidi="ar"/>
              </w:rPr>
              <w:t xml:space="preserve">附件 </w:t>
            </w:r>
          </w:p>
          <w:p>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44"/>
                <w:szCs w:val="44"/>
                <w:u w:val="none"/>
              </w:rPr>
            </w:pPr>
            <w:r>
              <w:rPr>
                <w:rFonts w:hint="eastAsia" w:ascii="方正小标宋简体" w:hAnsi="方正小标宋简体" w:eastAsia="方正小标宋简体" w:cs="方正小标宋简体"/>
                <w:i w:val="0"/>
                <w:color w:val="000000"/>
                <w:kern w:val="0"/>
                <w:sz w:val="44"/>
                <w:szCs w:val="44"/>
                <w:u w:val="none"/>
                <w:lang w:val="en-US" w:eastAsia="zh-CN" w:bidi="ar"/>
              </w:rPr>
              <w:t>威海市人力资源和社会保障局2021年普法责任清单</w:t>
            </w:r>
          </w:p>
        </w:tc>
      </w:tr>
      <w:tr>
        <w:tblPrEx>
          <w:shd w:val="clear" w:color="auto" w:fill="auto"/>
          <w:tblCellMar>
            <w:top w:w="0" w:type="dxa"/>
            <w:left w:w="0" w:type="dxa"/>
            <w:bottom w:w="0" w:type="dxa"/>
            <w:right w:w="0" w:type="dxa"/>
          </w:tblCellMar>
        </w:tblPrEx>
        <w:trPr>
          <w:trHeight w:val="682"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序号</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普法类型</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普法内容</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具体普法对象</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普法方式</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普法时间</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责任</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科室单位</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联络人</w:t>
            </w:r>
          </w:p>
        </w:tc>
      </w:tr>
      <w:tr>
        <w:tblPrEx>
          <w:shd w:val="clear" w:color="auto" w:fill="auto"/>
          <w:tblCellMar>
            <w:top w:w="0" w:type="dxa"/>
            <w:left w:w="0" w:type="dxa"/>
            <w:bottom w:w="0" w:type="dxa"/>
            <w:right w:w="0" w:type="dxa"/>
          </w:tblCellMar>
        </w:tblPrEx>
        <w:trPr>
          <w:trHeight w:val="972"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系统内普法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习近平法治思想</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局全体干部职工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社会公众</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1.通过局党组理论中心组学习、党小组学习等，组织全体工作人员进行学习。</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2.通过微信公众号进行宣传。</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4月</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政策法规科</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政工科</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张瀚予</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娄  跃</w:t>
            </w:r>
          </w:p>
        </w:tc>
      </w:tr>
      <w:tr>
        <w:tblPrEx>
          <w:shd w:val="clear" w:color="auto" w:fill="auto"/>
          <w:tblCellMar>
            <w:top w:w="0" w:type="dxa"/>
            <w:left w:w="0" w:type="dxa"/>
            <w:bottom w:w="0" w:type="dxa"/>
            <w:right w:w="0" w:type="dxa"/>
          </w:tblCellMar>
        </w:tblPrEx>
        <w:trPr>
          <w:trHeight w:val="93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系统内普法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中央全面依法治国</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工作会议精神</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局全体干部职工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社会公众</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1.通过局党组理论中心组学习、党小组学习等，组织全体工作人员进行学习。</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2.通过微信公众号进行宣传。</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5月</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政策法规科</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政工科</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张瀚予</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娄  跃</w:t>
            </w:r>
          </w:p>
        </w:tc>
      </w:tr>
      <w:tr>
        <w:tblPrEx>
          <w:shd w:val="clear" w:color="auto" w:fill="auto"/>
          <w:tblCellMar>
            <w:top w:w="0" w:type="dxa"/>
            <w:left w:w="0" w:type="dxa"/>
            <w:bottom w:w="0" w:type="dxa"/>
            <w:right w:w="0" w:type="dxa"/>
          </w:tblCellMar>
        </w:tblPrEx>
        <w:trPr>
          <w:trHeight w:val="142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系统内普法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宪法</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局全体干部职工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社会公众</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1.通过局党组理论中心组学习、党小组学习等，组织全体工作人员进行学习。</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2.通过微信公众号进行宣传。</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3.在服务大厅和办公场所电视、LED显示屏播放制作或转发的宣传挂图、视频等。</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12月</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政策法规科</w:t>
            </w:r>
            <w:r>
              <w:rPr>
                <w:rFonts w:hint="eastAsia" w:ascii="宋体" w:hAnsi="宋体" w:eastAsia="宋体" w:cs="宋体"/>
                <w:i w:val="0"/>
                <w:color w:val="auto"/>
                <w:kern w:val="0"/>
                <w:sz w:val="22"/>
                <w:szCs w:val="22"/>
                <w:highlight w:val="none"/>
                <w:u w:val="none"/>
                <w:lang w:val="en-US" w:eastAsia="zh-CN" w:bidi="ar"/>
              </w:rPr>
              <w:br w:type="textWrapping"/>
            </w:r>
            <w:r>
              <w:rPr>
                <w:rFonts w:hint="eastAsia" w:ascii="宋体" w:hAnsi="宋体" w:eastAsia="宋体" w:cs="宋体"/>
                <w:i w:val="0"/>
                <w:color w:val="auto"/>
                <w:kern w:val="0"/>
                <w:sz w:val="22"/>
                <w:szCs w:val="22"/>
                <w:highlight w:val="none"/>
                <w:u w:val="none"/>
                <w:lang w:val="en-US" w:eastAsia="zh-CN" w:bidi="ar"/>
              </w:rPr>
              <w:t>办公室</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政工科</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人力中心</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社保中心</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张瀚予</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王军伟</w:t>
            </w:r>
            <w:r>
              <w:rPr>
                <w:rFonts w:hint="eastAsia" w:ascii="宋体" w:hAnsi="宋体" w:eastAsia="宋体" w:cs="宋体"/>
                <w:i w:val="0"/>
                <w:color w:val="auto"/>
                <w:kern w:val="0"/>
                <w:sz w:val="22"/>
                <w:szCs w:val="22"/>
                <w:highlight w:val="none"/>
                <w:u w:val="none"/>
                <w:lang w:val="en-US" w:eastAsia="zh-CN" w:bidi="ar"/>
              </w:rPr>
              <w:br w:type="textWrapping"/>
            </w:r>
            <w:r>
              <w:rPr>
                <w:rFonts w:hint="eastAsia" w:ascii="宋体" w:hAnsi="宋体" w:eastAsia="宋体" w:cs="宋体"/>
                <w:i w:val="0"/>
                <w:color w:val="auto"/>
                <w:kern w:val="0"/>
                <w:sz w:val="22"/>
                <w:szCs w:val="22"/>
                <w:highlight w:val="none"/>
                <w:u w:val="none"/>
                <w:lang w:val="en-US" w:eastAsia="zh-CN" w:bidi="ar"/>
              </w:rPr>
              <w:t>娄  跃</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任玉杰</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谢赵玉</w:t>
            </w:r>
          </w:p>
        </w:tc>
      </w:tr>
      <w:tr>
        <w:tblPrEx>
          <w:shd w:val="clear" w:color="auto" w:fill="auto"/>
          <w:tblCellMar>
            <w:top w:w="0" w:type="dxa"/>
            <w:left w:w="0" w:type="dxa"/>
            <w:bottom w:w="0" w:type="dxa"/>
            <w:right w:w="0" w:type="dxa"/>
          </w:tblCellMar>
        </w:tblPrEx>
        <w:trPr>
          <w:trHeight w:val="152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系统内普法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民法典</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局全体干部职工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社会公众</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1.通过局党组理论中心组学习、党小组学习等，组织全体工作人员进行学习。</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2.通过微信公众号进行宣传。</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3.在服务大厅和办公场所电视、LED显示屏播放制作或转发的宣传挂图、视频等。</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6月</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政策法规科</w:t>
            </w:r>
            <w:r>
              <w:rPr>
                <w:rFonts w:hint="eastAsia" w:ascii="宋体" w:hAnsi="宋体" w:eastAsia="宋体" w:cs="宋体"/>
                <w:i w:val="0"/>
                <w:color w:val="auto"/>
                <w:kern w:val="0"/>
                <w:sz w:val="22"/>
                <w:szCs w:val="22"/>
                <w:highlight w:val="none"/>
                <w:u w:val="none"/>
                <w:lang w:val="en-US" w:eastAsia="zh-CN" w:bidi="ar"/>
              </w:rPr>
              <w:br w:type="textWrapping"/>
            </w:r>
            <w:r>
              <w:rPr>
                <w:rFonts w:hint="eastAsia" w:ascii="宋体" w:hAnsi="宋体" w:eastAsia="宋体" w:cs="宋体"/>
                <w:i w:val="0"/>
                <w:color w:val="auto"/>
                <w:kern w:val="0"/>
                <w:sz w:val="22"/>
                <w:szCs w:val="22"/>
                <w:highlight w:val="none"/>
                <w:u w:val="none"/>
                <w:lang w:val="en-US" w:eastAsia="zh-CN" w:bidi="ar"/>
              </w:rPr>
              <w:t>办公室</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政工科</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人力中心</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社保中心</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张瀚予</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王军伟</w:t>
            </w:r>
            <w:r>
              <w:rPr>
                <w:rFonts w:hint="eastAsia" w:ascii="宋体" w:hAnsi="宋体" w:eastAsia="宋体" w:cs="宋体"/>
                <w:i w:val="0"/>
                <w:color w:val="auto"/>
                <w:kern w:val="0"/>
                <w:sz w:val="22"/>
                <w:szCs w:val="22"/>
                <w:highlight w:val="none"/>
                <w:u w:val="none"/>
                <w:lang w:val="en-US" w:eastAsia="zh-CN" w:bidi="ar"/>
              </w:rPr>
              <w:br w:type="textWrapping"/>
            </w:r>
            <w:r>
              <w:rPr>
                <w:rFonts w:hint="eastAsia" w:ascii="宋体" w:hAnsi="宋体" w:eastAsia="宋体" w:cs="宋体"/>
                <w:i w:val="0"/>
                <w:color w:val="auto"/>
                <w:kern w:val="0"/>
                <w:sz w:val="22"/>
                <w:szCs w:val="22"/>
                <w:highlight w:val="none"/>
                <w:u w:val="none"/>
                <w:lang w:val="en-US" w:eastAsia="zh-CN" w:bidi="ar"/>
              </w:rPr>
              <w:t>娄  跃</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任玉杰</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谢赵玉</w:t>
            </w:r>
          </w:p>
        </w:tc>
      </w:tr>
      <w:tr>
        <w:tblPrEx>
          <w:shd w:val="clear" w:color="auto" w:fill="auto"/>
          <w:tblCellMar>
            <w:top w:w="0" w:type="dxa"/>
            <w:left w:w="0" w:type="dxa"/>
            <w:bottom w:w="0" w:type="dxa"/>
            <w:right w:w="0" w:type="dxa"/>
          </w:tblCellMar>
        </w:tblPrEx>
        <w:trPr>
          <w:trHeight w:val="125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系统内普法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疫情防控及安全生产</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法律法规</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局全体干部职工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社会公众</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1.在服务大厅和办公场所电视、LED显示屏播放制作或转发的宣传挂图、视频等。</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2.邀请环翠区消防大队人员为全体干部职工进行安全生产知识讲座和实操培训。</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3月</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政策法规科</w:t>
            </w:r>
            <w:r>
              <w:rPr>
                <w:rFonts w:hint="eastAsia" w:ascii="宋体" w:hAnsi="宋体" w:eastAsia="宋体" w:cs="宋体"/>
                <w:i w:val="0"/>
                <w:color w:val="auto"/>
                <w:kern w:val="0"/>
                <w:sz w:val="22"/>
                <w:szCs w:val="22"/>
                <w:highlight w:val="none"/>
                <w:u w:val="none"/>
                <w:lang w:val="en-US" w:eastAsia="zh-CN" w:bidi="ar"/>
              </w:rPr>
              <w:br w:type="textWrapping"/>
            </w:r>
            <w:r>
              <w:rPr>
                <w:rFonts w:hint="eastAsia" w:ascii="宋体" w:hAnsi="宋体" w:eastAsia="宋体" w:cs="宋体"/>
                <w:i w:val="0"/>
                <w:color w:val="auto"/>
                <w:kern w:val="0"/>
                <w:sz w:val="22"/>
                <w:szCs w:val="22"/>
                <w:highlight w:val="none"/>
                <w:u w:val="none"/>
                <w:lang w:val="en-US" w:eastAsia="zh-CN" w:bidi="ar"/>
              </w:rPr>
              <w:t>办公室</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政工科</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人力中心</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社保中心</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张瀚予</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王军伟</w:t>
            </w:r>
            <w:r>
              <w:rPr>
                <w:rFonts w:hint="eastAsia" w:ascii="宋体" w:hAnsi="宋体" w:eastAsia="宋体" w:cs="宋体"/>
                <w:i w:val="0"/>
                <w:color w:val="auto"/>
                <w:kern w:val="0"/>
                <w:sz w:val="22"/>
                <w:szCs w:val="22"/>
                <w:highlight w:val="none"/>
                <w:u w:val="none"/>
                <w:lang w:val="en-US" w:eastAsia="zh-CN" w:bidi="ar"/>
              </w:rPr>
              <w:br w:type="textWrapping"/>
            </w:r>
            <w:r>
              <w:rPr>
                <w:rFonts w:hint="eastAsia" w:ascii="宋体" w:hAnsi="宋体" w:eastAsia="宋体" w:cs="宋体"/>
                <w:i w:val="0"/>
                <w:color w:val="auto"/>
                <w:kern w:val="0"/>
                <w:sz w:val="22"/>
                <w:szCs w:val="22"/>
                <w:highlight w:val="none"/>
                <w:u w:val="none"/>
                <w:lang w:val="en-US" w:eastAsia="zh-CN" w:bidi="ar"/>
              </w:rPr>
              <w:t>娄  跃</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任玉杰</w:t>
            </w:r>
          </w:p>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谢赵玉</w:t>
            </w:r>
          </w:p>
        </w:tc>
      </w:tr>
      <w:tr>
        <w:tblPrEx>
          <w:shd w:val="clear" w:color="auto" w:fill="auto"/>
          <w:tblCellMar>
            <w:top w:w="0" w:type="dxa"/>
            <w:left w:w="0" w:type="dxa"/>
            <w:bottom w:w="0" w:type="dxa"/>
            <w:right w:w="0" w:type="dxa"/>
          </w:tblCellMar>
        </w:tblPrEx>
        <w:trPr>
          <w:trHeight w:val="70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系统内普法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党章及党内法规 </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局全体党员干部</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通过局党组理论中心组学习、党小组学习等，组织全体工作人员进行学习。</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12月底前</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政策法规科</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政工科</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张瀚予</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娄  跃</w:t>
            </w:r>
          </w:p>
        </w:tc>
      </w:tr>
      <w:tr>
        <w:tblPrEx>
          <w:shd w:val="clear" w:color="auto" w:fill="auto"/>
          <w:tblCellMar>
            <w:top w:w="0" w:type="dxa"/>
            <w:left w:w="0" w:type="dxa"/>
            <w:bottom w:w="0" w:type="dxa"/>
            <w:right w:w="0" w:type="dxa"/>
          </w:tblCellMar>
        </w:tblPrEx>
        <w:trPr>
          <w:trHeight w:val="772"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系统内普法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优化营商环境条例</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局全体干部职工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社会公众</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通过局党组理论中心组学习、党小组学习等，组织全体工作人员进行学习。</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7月</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政策法规科</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政工科</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张瀚予</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娄  跃</w:t>
            </w:r>
          </w:p>
        </w:tc>
      </w:tr>
      <w:tr>
        <w:tblPrEx>
          <w:shd w:val="clear" w:color="auto" w:fill="auto"/>
          <w:tblCellMar>
            <w:top w:w="0" w:type="dxa"/>
            <w:left w:w="0" w:type="dxa"/>
            <w:bottom w:w="0" w:type="dxa"/>
            <w:right w:w="0" w:type="dxa"/>
          </w:tblCellMar>
        </w:tblPrEx>
        <w:trPr>
          <w:trHeight w:val="141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系统内普法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行政强制法、行政处罚法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行政复议法、行政诉讼法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山东省行政程序规定</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行政执法三项制度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威海市行政执法监督办法</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局行政执法人员</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通过集体学习、自主学习、案例研讨等形式加强行政执法人员培训。</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2月-10月</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政策法规科</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监察支队</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社保中心</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张瀚予</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王永军</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孙  璐</w:t>
            </w:r>
          </w:p>
        </w:tc>
      </w:tr>
      <w:tr>
        <w:tblPrEx>
          <w:shd w:val="clear" w:color="auto" w:fill="auto"/>
          <w:tblCellMar>
            <w:top w:w="0" w:type="dxa"/>
            <w:left w:w="0" w:type="dxa"/>
            <w:bottom w:w="0" w:type="dxa"/>
            <w:right w:w="0" w:type="dxa"/>
          </w:tblCellMar>
        </w:tblPrEx>
        <w:trPr>
          <w:trHeight w:val="85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就业促进法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山东省就业促进条例</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社会公众</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1.通过微信公众号进行宣传；               </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2.在服务大厅LED显示屏播放制作或转发的宣传挂图或视频等方式。</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10月</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就业失业科</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人力中心</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于永涛</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邢伊爽</w:t>
            </w:r>
          </w:p>
        </w:tc>
      </w:tr>
      <w:tr>
        <w:tblPrEx>
          <w:shd w:val="clear" w:color="auto" w:fill="auto"/>
          <w:tblCellMar>
            <w:top w:w="0" w:type="dxa"/>
            <w:left w:w="0" w:type="dxa"/>
            <w:bottom w:w="0" w:type="dxa"/>
            <w:right w:w="0" w:type="dxa"/>
          </w:tblCellMar>
        </w:tblPrEx>
        <w:trPr>
          <w:trHeight w:val="69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失业保险条例</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用人单位</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企业职工</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通过报纸、电视及微信公众号等进行线上、线下宣传。</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11月</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就业失业科</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人力中心</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于永涛</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邢伊爽</w:t>
            </w:r>
          </w:p>
        </w:tc>
      </w:tr>
      <w:tr>
        <w:tblPrEx>
          <w:shd w:val="clear" w:color="auto" w:fill="auto"/>
          <w:tblCellMar>
            <w:top w:w="0" w:type="dxa"/>
            <w:left w:w="0" w:type="dxa"/>
            <w:bottom w:w="0" w:type="dxa"/>
            <w:right w:w="0" w:type="dxa"/>
          </w:tblCellMar>
        </w:tblPrEx>
        <w:trPr>
          <w:trHeight w:val="708"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人力资源市场暂行条例</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人力资源服务机构</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社会公众</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通过线上公益网课、微信公众号等进行宣传。</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3月</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流动管理科</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孙世海</w:t>
            </w:r>
          </w:p>
        </w:tc>
      </w:tr>
      <w:tr>
        <w:tblPrEx>
          <w:shd w:val="clear" w:color="auto" w:fill="auto"/>
          <w:tblCellMar>
            <w:top w:w="0" w:type="dxa"/>
            <w:left w:w="0" w:type="dxa"/>
            <w:bottom w:w="0" w:type="dxa"/>
            <w:right w:w="0" w:type="dxa"/>
          </w:tblCellMar>
        </w:tblPrEx>
        <w:trPr>
          <w:trHeight w:val="660"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事业单位人事管理条例</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事业单位相关</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工作人员</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举办业务培训班。</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上半年</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事业科</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  雪</w:t>
            </w:r>
          </w:p>
        </w:tc>
      </w:tr>
      <w:tr>
        <w:tblPrEx>
          <w:shd w:val="clear" w:color="auto" w:fill="auto"/>
          <w:tblCellMar>
            <w:top w:w="0" w:type="dxa"/>
            <w:left w:w="0" w:type="dxa"/>
            <w:bottom w:w="0" w:type="dxa"/>
            <w:right w:w="0" w:type="dxa"/>
          </w:tblCellMar>
        </w:tblPrEx>
        <w:trPr>
          <w:trHeight w:val="85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工伤保险条例</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用人单位</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企业职工</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1.工伤预防服务系统线上宣传。</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2.在服务大厅和办公场所电视、LED显示屏播放制作或转发的宣传挂图、视频等。</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养老科</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社保中心</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严  菲</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李长军</w:t>
            </w:r>
          </w:p>
        </w:tc>
      </w:tr>
      <w:tr>
        <w:tblPrEx>
          <w:shd w:val="clear" w:color="auto" w:fill="auto"/>
          <w:tblCellMar>
            <w:top w:w="0" w:type="dxa"/>
            <w:left w:w="0" w:type="dxa"/>
            <w:bottom w:w="0" w:type="dxa"/>
            <w:right w:w="0" w:type="dxa"/>
          </w:tblCellMar>
        </w:tblPrEx>
        <w:trPr>
          <w:trHeight w:val="1727"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劳动法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劳动合同法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劳动合同法实施条例</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职工带薪年休假条例</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女职工劳动保护特别规定</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劳动争议调解仲裁法</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用人单位</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企业职工</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1.举办培训班对用人单位进行普法。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2.通过微信群、微信公众号、抖音、门户网站及线上公益网课、以案释法等形式进行宣传。</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劳动关系科</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监察支队</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仲裁院</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王益鹏</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王永军</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李裕梅</w:t>
            </w:r>
          </w:p>
        </w:tc>
      </w:tr>
      <w:tr>
        <w:tblPrEx>
          <w:shd w:val="clear" w:color="auto" w:fill="auto"/>
          <w:tblCellMar>
            <w:top w:w="0" w:type="dxa"/>
            <w:left w:w="0" w:type="dxa"/>
            <w:bottom w:w="0" w:type="dxa"/>
            <w:right w:w="0" w:type="dxa"/>
          </w:tblCellMar>
        </w:tblPrEx>
        <w:trPr>
          <w:trHeight w:val="98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保障农民工工资支付条例</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用人单位</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农民工</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1.举办培训班对用人单位进行普法。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2.通过微信群、微信公众号、抖音、门户网站、线上公益网课、以案释法等形式进行宣传。</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监察支队</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王永军</w:t>
            </w:r>
          </w:p>
        </w:tc>
      </w:tr>
      <w:tr>
        <w:tblPrEx>
          <w:shd w:val="clear" w:color="auto" w:fill="auto"/>
          <w:tblCellMar>
            <w:top w:w="0" w:type="dxa"/>
            <w:left w:w="0" w:type="dxa"/>
            <w:bottom w:w="0" w:type="dxa"/>
            <w:right w:w="0" w:type="dxa"/>
          </w:tblCellMar>
        </w:tblPrEx>
        <w:trPr>
          <w:trHeight w:val="915"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劳动保障监察条例</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用人单位</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企业职工</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1.举办培训班对用人单位进行普法。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2.通过微信群、微信公众号、抖音、门户网站及线上公益网课等进行宣传。</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监察支队</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王永军</w:t>
            </w:r>
          </w:p>
        </w:tc>
      </w:tr>
      <w:tr>
        <w:tblPrEx>
          <w:shd w:val="clear" w:color="auto" w:fill="auto"/>
          <w:tblCellMar>
            <w:top w:w="0" w:type="dxa"/>
            <w:left w:w="0" w:type="dxa"/>
            <w:bottom w:w="0" w:type="dxa"/>
            <w:right w:w="0" w:type="dxa"/>
          </w:tblCellMar>
        </w:tblPrEx>
        <w:trPr>
          <w:trHeight w:val="1183" w:hRule="atLeast"/>
        </w:trPr>
        <w:tc>
          <w:tcPr>
            <w:tcW w:w="5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2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社会面普法</w:t>
            </w:r>
          </w:p>
        </w:tc>
        <w:tc>
          <w:tcPr>
            <w:tcW w:w="26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社会保险法</w:t>
            </w:r>
          </w:p>
        </w:tc>
        <w:tc>
          <w:tcPr>
            <w:tcW w:w="1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用人单位</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企业职工</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社会公众</w:t>
            </w:r>
          </w:p>
        </w:tc>
        <w:tc>
          <w:tcPr>
            <w:tcW w:w="4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1.举办培训班对用人单位进行普法。</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2.通过报纸、直播威海、大众网、微信、抖音、门户网站、线上公益网课及以案释法等进行宣传。</w:t>
            </w:r>
          </w:p>
        </w:tc>
        <w:tc>
          <w:tcPr>
            <w:tcW w:w="11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全年</w:t>
            </w:r>
          </w:p>
        </w:tc>
        <w:tc>
          <w:tcPr>
            <w:tcW w:w="13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社保中心</w:t>
            </w:r>
          </w:p>
        </w:tc>
        <w:tc>
          <w:tcPr>
            <w:tcW w:w="10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outlineLvl w:val="9"/>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刘泉鑫</w:t>
            </w:r>
          </w:p>
        </w:tc>
      </w:tr>
    </w:tbl>
    <w:p>
      <w:pPr>
        <w:keepNext w:val="0"/>
        <w:keepLines w:val="0"/>
        <w:pageBreakBefore w:val="0"/>
        <w:kinsoku/>
        <w:wordWrap/>
        <w:overflowPunct/>
        <w:topLinePunct w:val="0"/>
        <w:autoSpaceDE/>
        <w:autoSpaceDN/>
        <w:bidi w:val="0"/>
        <w:adjustRightInd/>
        <w:snapToGrid/>
        <w:spacing w:line="260" w:lineRule="exact"/>
        <w:outlineLvl w:val="9"/>
        <w:rPr>
          <w:color w:val="auto"/>
        </w:rPr>
      </w:pPr>
    </w:p>
    <w:sectPr>
      <w:footerReference r:id="rId3" w:type="default"/>
      <w:pgSz w:w="16838" w:h="11906" w:orient="landscape"/>
      <w:pgMar w:top="1531" w:right="1984" w:bottom="1474" w:left="1814" w:header="851" w:footer="1247" w:gutter="0"/>
      <w:pgNumType w:fmt="numberInDash"/>
      <w:cols w:space="0" w:num="1"/>
      <w:rtlGutter w:val="0"/>
      <w:docGrid w:type="lines" w:linePitch="56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false"/>
  <w:bordersDoNotSurroundFooter w:val="false"/>
  <w:documentProtection w:enforcement="0"/>
  <w:defaultTabStop w:val="420"/>
  <w:drawingGridVerticalSpacing w:val="283"/>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AD9"/>
    <w:rsid w:val="00416E49"/>
    <w:rsid w:val="00D56AD9"/>
    <w:rsid w:val="01262EC9"/>
    <w:rsid w:val="02EA10B2"/>
    <w:rsid w:val="02FC38EC"/>
    <w:rsid w:val="04A2564B"/>
    <w:rsid w:val="04B34648"/>
    <w:rsid w:val="067D085C"/>
    <w:rsid w:val="06842D38"/>
    <w:rsid w:val="073E4608"/>
    <w:rsid w:val="074E6F9E"/>
    <w:rsid w:val="088376B0"/>
    <w:rsid w:val="090075CE"/>
    <w:rsid w:val="09283382"/>
    <w:rsid w:val="093462F0"/>
    <w:rsid w:val="09FF168A"/>
    <w:rsid w:val="0B1567DF"/>
    <w:rsid w:val="0C247762"/>
    <w:rsid w:val="101860D1"/>
    <w:rsid w:val="10952155"/>
    <w:rsid w:val="113E62D3"/>
    <w:rsid w:val="1145582B"/>
    <w:rsid w:val="12127A15"/>
    <w:rsid w:val="1304392C"/>
    <w:rsid w:val="14686838"/>
    <w:rsid w:val="154F5F29"/>
    <w:rsid w:val="16CD6EE3"/>
    <w:rsid w:val="16F35DBB"/>
    <w:rsid w:val="17474F17"/>
    <w:rsid w:val="18050E09"/>
    <w:rsid w:val="18051603"/>
    <w:rsid w:val="1947424F"/>
    <w:rsid w:val="1AA602DA"/>
    <w:rsid w:val="1B4B67B4"/>
    <w:rsid w:val="1B6D52B3"/>
    <w:rsid w:val="1B74160F"/>
    <w:rsid w:val="1BAE4DA7"/>
    <w:rsid w:val="1BB962A7"/>
    <w:rsid w:val="1E072C2D"/>
    <w:rsid w:val="1E544D43"/>
    <w:rsid w:val="1E96325F"/>
    <w:rsid w:val="200735C3"/>
    <w:rsid w:val="22625190"/>
    <w:rsid w:val="23C411C5"/>
    <w:rsid w:val="23E05594"/>
    <w:rsid w:val="243A30AF"/>
    <w:rsid w:val="248B65EC"/>
    <w:rsid w:val="26545672"/>
    <w:rsid w:val="26960D87"/>
    <w:rsid w:val="274903F4"/>
    <w:rsid w:val="28666C4D"/>
    <w:rsid w:val="288C457F"/>
    <w:rsid w:val="2C417581"/>
    <w:rsid w:val="2C553E28"/>
    <w:rsid w:val="2D0A2F7F"/>
    <w:rsid w:val="2D563A39"/>
    <w:rsid w:val="2F0C66EC"/>
    <w:rsid w:val="30C802BE"/>
    <w:rsid w:val="312D15D1"/>
    <w:rsid w:val="322D4192"/>
    <w:rsid w:val="33B24595"/>
    <w:rsid w:val="34511A5D"/>
    <w:rsid w:val="34FD4B68"/>
    <w:rsid w:val="374563F1"/>
    <w:rsid w:val="37C67241"/>
    <w:rsid w:val="399F482D"/>
    <w:rsid w:val="39F427E0"/>
    <w:rsid w:val="3A2F4456"/>
    <w:rsid w:val="3A726AE8"/>
    <w:rsid w:val="3A937378"/>
    <w:rsid w:val="3B277E54"/>
    <w:rsid w:val="3B9E4831"/>
    <w:rsid w:val="3CCF0505"/>
    <w:rsid w:val="3D1B18ED"/>
    <w:rsid w:val="3DED058E"/>
    <w:rsid w:val="3DFA48F2"/>
    <w:rsid w:val="3E0D4D60"/>
    <w:rsid w:val="3E4818AB"/>
    <w:rsid w:val="41392BB8"/>
    <w:rsid w:val="41690A26"/>
    <w:rsid w:val="427A0976"/>
    <w:rsid w:val="42B45D4A"/>
    <w:rsid w:val="43B4525D"/>
    <w:rsid w:val="44FB270D"/>
    <w:rsid w:val="450507C3"/>
    <w:rsid w:val="49176B0D"/>
    <w:rsid w:val="495A4D5B"/>
    <w:rsid w:val="49DC1529"/>
    <w:rsid w:val="4A391437"/>
    <w:rsid w:val="4B510941"/>
    <w:rsid w:val="4B6E02AE"/>
    <w:rsid w:val="4CC36F35"/>
    <w:rsid w:val="4E1E4546"/>
    <w:rsid w:val="4F530393"/>
    <w:rsid w:val="501F18D2"/>
    <w:rsid w:val="52C036E3"/>
    <w:rsid w:val="5632577F"/>
    <w:rsid w:val="565E5348"/>
    <w:rsid w:val="5668219B"/>
    <w:rsid w:val="578F1740"/>
    <w:rsid w:val="584D33DC"/>
    <w:rsid w:val="5AB23E2C"/>
    <w:rsid w:val="5B3627B2"/>
    <w:rsid w:val="5F262915"/>
    <w:rsid w:val="60153A53"/>
    <w:rsid w:val="601C1683"/>
    <w:rsid w:val="603456A5"/>
    <w:rsid w:val="617B3C10"/>
    <w:rsid w:val="634235C6"/>
    <w:rsid w:val="639D2A2F"/>
    <w:rsid w:val="63A40C61"/>
    <w:rsid w:val="6475506A"/>
    <w:rsid w:val="651204B5"/>
    <w:rsid w:val="65ED204C"/>
    <w:rsid w:val="66AD0279"/>
    <w:rsid w:val="673A5A41"/>
    <w:rsid w:val="67EA5CF9"/>
    <w:rsid w:val="690A73D1"/>
    <w:rsid w:val="695D29C5"/>
    <w:rsid w:val="6AB333EA"/>
    <w:rsid w:val="6AE272B2"/>
    <w:rsid w:val="6D5A1D4C"/>
    <w:rsid w:val="6D991258"/>
    <w:rsid w:val="6F165BA1"/>
    <w:rsid w:val="6F8F5697"/>
    <w:rsid w:val="71771E91"/>
    <w:rsid w:val="7183318D"/>
    <w:rsid w:val="71FD2C93"/>
    <w:rsid w:val="744A3180"/>
    <w:rsid w:val="747F34E1"/>
    <w:rsid w:val="757B3B3B"/>
    <w:rsid w:val="757D23E7"/>
    <w:rsid w:val="75F80905"/>
    <w:rsid w:val="76440F28"/>
    <w:rsid w:val="77BD1A1D"/>
    <w:rsid w:val="77E7401B"/>
    <w:rsid w:val="77F15632"/>
    <w:rsid w:val="7ACB4003"/>
    <w:rsid w:val="7B5761F0"/>
    <w:rsid w:val="7BD32E7E"/>
    <w:rsid w:val="7DDF17CA"/>
    <w:rsid w:val="7DDF7DFC"/>
    <w:rsid w:val="7F44731A"/>
    <w:rsid w:val="F57FF4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2021-03-25T17:36:00Z</dcterms:created>
  <dc:creator>Administrator</dc:creator>
  <cp:lastModifiedBy>user</cp:lastModifiedBy>
  <cp:lastPrinted>2021-03-30T14:01:00Z</cp:lastPrinted>
  <dcterms:modified xsi:type="dcterms:W3CDTF">2021-12-16T19:49:41Z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