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color w:val="000000"/>
          <w:sz w:val="32"/>
          <w:szCs w:val="32"/>
        </w:rPr>
      </w:pPr>
      <w:r>
        <w:rPr>
          <w:rFonts w:hint="eastAsia" w:ascii="黑体" w:hAnsi="黑体" w:eastAsia="黑体" w:cs="黑体"/>
          <w:sz w:val="32"/>
          <w:szCs w:val="32"/>
        </w:rPr>
        <w:t>附件3</w:t>
      </w:r>
    </w:p>
    <w:p>
      <w:pPr>
        <w:spacing w:line="660" w:lineRule="exact"/>
        <w:jc w:val="center"/>
        <w:outlineLvl w:val="0"/>
        <w:rPr>
          <w:rFonts w:ascii="方正小标宋简体" w:hAnsi="黑体" w:eastAsia="方正小标宋简体"/>
          <w:sz w:val="44"/>
          <w:szCs w:val="44"/>
        </w:rPr>
      </w:pPr>
      <w:r>
        <w:rPr>
          <w:rFonts w:hint="eastAsia" w:ascii="方正小标宋简体" w:hAnsi="黑体" w:eastAsia="方正小标宋简体"/>
          <w:sz w:val="44"/>
          <w:szCs w:val="44"/>
        </w:rPr>
        <w:t>2018年度注册安全工程师执业资格</w:t>
      </w:r>
    </w:p>
    <w:p>
      <w:pPr>
        <w:spacing w:line="660" w:lineRule="exact"/>
        <w:jc w:val="center"/>
        <w:outlineLvl w:val="0"/>
        <w:rPr>
          <w:rFonts w:ascii="方正小标宋简体" w:hAnsi="黑体" w:eastAsia="方正小标宋简体"/>
          <w:sz w:val="44"/>
          <w:szCs w:val="44"/>
        </w:rPr>
      </w:pPr>
      <w:r>
        <w:rPr>
          <w:rFonts w:hint="eastAsia" w:ascii="方正小标宋简体" w:hAnsi="黑体" w:eastAsia="方正小标宋简体"/>
          <w:sz w:val="44"/>
          <w:szCs w:val="44"/>
        </w:rPr>
        <w:t>考试有关法律法规修订、新增内容的说明</w:t>
      </w:r>
    </w:p>
    <w:p>
      <w:pPr>
        <w:spacing w:line="508" w:lineRule="exact"/>
        <w:jc w:val="center"/>
        <w:rPr>
          <w:rFonts w:ascii="仿宋_GB2312" w:eastAsia="仿宋_GB2312"/>
          <w:sz w:val="28"/>
        </w:rPr>
      </w:pPr>
    </w:p>
    <w:p>
      <w:pPr>
        <w:spacing w:line="520" w:lineRule="exact"/>
        <w:ind w:firstLine="555"/>
        <w:jc w:val="left"/>
        <w:rPr>
          <w:rFonts w:ascii="仿宋_GB2312" w:eastAsia="仿宋_GB2312"/>
          <w:sz w:val="32"/>
          <w:szCs w:val="32"/>
        </w:rPr>
      </w:pPr>
      <w:r>
        <w:rPr>
          <w:rFonts w:hint="eastAsia" w:ascii="仿宋_GB2312" w:eastAsia="仿宋_GB2312"/>
          <w:sz w:val="32"/>
          <w:szCs w:val="32"/>
        </w:rPr>
        <w:t>根据2011年以来安全生产相关法律法规制定、修订情况，为便于考生更好地应考，就《注册安全工程师执业资格考试大纲》（2011版）内容中涉及的有关法律法规作如下说明。</w:t>
      </w:r>
    </w:p>
    <w:p>
      <w:pPr>
        <w:pStyle w:val="7"/>
        <w:numPr>
          <w:ilvl w:val="0"/>
          <w:numId w:val="1"/>
        </w:numPr>
        <w:spacing w:line="520" w:lineRule="exact"/>
        <w:ind w:firstLineChars="0"/>
        <w:jc w:val="left"/>
        <w:rPr>
          <w:rFonts w:hint="default" w:ascii="仿宋_GB2312" w:eastAsia="仿宋_GB2312"/>
          <w:sz w:val="32"/>
          <w:szCs w:val="32"/>
        </w:rPr>
      </w:pPr>
      <w:r>
        <w:rPr>
          <w:rFonts w:ascii="仿宋_GB2312" w:eastAsia="仿宋_GB2312"/>
          <w:sz w:val="32"/>
          <w:szCs w:val="32"/>
        </w:rPr>
        <w:t>新修订的安全生产相关法律法规</w:t>
      </w:r>
    </w:p>
    <w:p>
      <w:pPr>
        <w:spacing w:line="520" w:lineRule="exact"/>
        <w:ind w:firstLine="555"/>
        <w:jc w:val="left"/>
        <w:rPr>
          <w:rFonts w:ascii="仿宋_GB2312" w:eastAsia="仿宋_GB2312"/>
          <w:sz w:val="32"/>
          <w:szCs w:val="32"/>
        </w:rPr>
      </w:pPr>
      <w:r>
        <w:rPr>
          <w:rFonts w:hint="eastAsia" w:ascii="仿宋_GB2312" w:eastAsia="仿宋_GB2312"/>
          <w:sz w:val="32"/>
          <w:szCs w:val="32"/>
        </w:rPr>
        <w:t>1.《中华人民共和国安全生产法》（中华人民共和国主席令第70号公布，第18号、第13号修正）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2.《中华人民共和国道路交通安全法》（中华人民共和国主席令第8号公布，第81号、第47号修正）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3.《中华人民共和国职业病防治法》（中华人民共和国主席令第60号公布，第52号、第48号、第81号修正）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4．《中华人民共和国矿山安全法》（中华人民共和国主席令第65号公布，第18号修正）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5.《中华人民共和国劳动合同法》（中华人民共和国主席令第65号公布，第73号修正）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6</w:t>
      </w:r>
      <w:r>
        <w:rPr>
          <w:rFonts w:ascii="仿宋_GB2312" w:eastAsia="仿宋_GB2312"/>
          <w:sz w:val="32"/>
          <w:szCs w:val="32"/>
        </w:rPr>
        <w:t>.</w:t>
      </w:r>
      <w:r>
        <w:rPr>
          <w:rFonts w:hint="eastAsia" w:ascii="仿宋_GB2312" w:eastAsia="仿宋_GB2312"/>
          <w:sz w:val="32"/>
          <w:szCs w:val="32"/>
        </w:rPr>
        <w:t>《中华人民共和国行政处罚法》（中华人民共和国主席令第63号公布，第18号、第76号修正）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7</w:t>
      </w:r>
      <w:r>
        <w:rPr>
          <w:rFonts w:ascii="仿宋_GB2312" w:eastAsia="仿宋_GB2312"/>
          <w:sz w:val="32"/>
          <w:szCs w:val="32"/>
        </w:rPr>
        <w:t>.</w:t>
      </w:r>
      <w:r>
        <w:rPr>
          <w:rFonts w:hint="eastAsia" w:ascii="仿宋_GB2312" w:eastAsia="仿宋_GB2312"/>
          <w:sz w:val="32"/>
          <w:szCs w:val="32"/>
        </w:rPr>
        <w:t>《煤矿安全监察条例》（中华人民共和国国务院令第296号公布，第638号修正）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8</w:t>
      </w:r>
      <w:r>
        <w:rPr>
          <w:rFonts w:ascii="仿宋_GB2312" w:eastAsia="仿宋_GB2312"/>
          <w:sz w:val="32"/>
          <w:szCs w:val="32"/>
        </w:rPr>
        <w:t>.</w:t>
      </w:r>
      <w:r>
        <w:rPr>
          <w:rFonts w:hint="eastAsia" w:ascii="仿宋_GB2312" w:eastAsia="仿宋_GB2312"/>
          <w:sz w:val="32"/>
          <w:szCs w:val="32"/>
        </w:rPr>
        <w:t>《国务院关于预防煤矿生产安全事故的特别规定》（中华人民共和国国务院令第446号公布，第638号修正）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9</w:t>
      </w:r>
      <w:r>
        <w:rPr>
          <w:rFonts w:ascii="仿宋_GB2312" w:eastAsia="仿宋_GB2312"/>
          <w:sz w:val="32"/>
          <w:szCs w:val="32"/>
        </w:rPr>
        <w:t>.</w:t>
      </w:r>
      <w:r>
        <w:rPr>
          <w:rFonts w:hint="eastAsia" w:ascii="仿宋_GB2312" w:eastAsia="仿宋_GB2312"/>
          <w:sz w:val="32"/>
          <w:szCs w:val="32"/>
        </w:rPr>
        <w:t>《危险化学品安全管理条例》（中华人民共和国国务院令第344号公布，第591号、第645号修正）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10.《安全生产许可证条例》（中华人民共和国国务院令第397号公布，第638号、第653号修正）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11.《民用爆炸物品安全管理条例》（中华人民共和国国务院令第466号公布，第653号修正）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12.《烟花爆竹安全管理条例》（中华人民共和国国务院令第455号公布，第666号修正）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13.《生产经营单位安全培训规定》（国家安全生产监督管理总局令第3号公布，第63号、第80号修正）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14.《注册安全工程师管理规定》（国家安全生产监督管理总局令第11号公布，第63号修正）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15.《生产安全事故罚款处罚规定（试行）》（国家安全生产监督管理总局令第13号公布，第42号、第77号修正）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16</w:t>
      </w:r>
      <w:r>
        <w:rPr>
          <w:rFonts w:ascii="仿宋_GB2312" w:eastAsia="仿宋_GB2312"/>
          <w:sz w:val="32"/>
          <w:szCs w:val="32"/>
        </w:rPr>
        <w:t>.</w:t>
      </w:r>
      <w:r>
        <w:rPr>
          <w:rFonts w:hint="eastAsia" w:ascii="仿宋_GB2312" w:eastAsia="仿宋_GB2312"/>
          <w:sz w:val="32"/>
          <w:szCs w:val="32"/>
        </w:rPr>
        <w:t>《非煤矿矿山企业安全生产许可证实施办法》（国家安全生产监督管理总局令第20号公布，第78号修正）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17.《安全评价机构管理规定》（国家安全生产监督管理总局令第22号公布，第63号、第80号修正）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18.《特种作业人员安全技术培训考核管理规定》（国家安全生产监督管理总局令第30号公布，第63号、第80号修正）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《建设项目安全设施“三同时”监督管理办法》（国家安全生产监督管理总局令第36号公布，第77号修正）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20.《建设工程消防监督管理规定》（中华人民共和国公安部令第106号发布，第119号修正）</w:t>
      </w:r>
    </w:p>
    <w:p>
      <w:pPr>
        <w:pStyle w:val="7"/>
        <w:numPr>
          <w:ilvl w:val="0"/>
          <w:numId w:val="1"/>
        </w:numPr>
        <w:spacing w:line="520" w:lineRule="exact"/>
        <w:ind w:firstLineChars="0"/>
        <w:jc w:val="left"/>
        <w:rPr>
          <w:rFonts w:hint="default" w:ascii="仿宋_GB2312" w:eastAsia="仿宋_GB2312"/>
          <w:sz w:val="32"/>
          <w:szCs w:val="32"/>
        </w:rPr>
      </w:pPr>
      <w:r>
        <w:rPr>
          <w:rFonts w:ascii="仿宋_GB2312" w:eastAsia="仿宋_GB2312"/>
          <w:sz w:val="32"/>
          <w:szCs w:val="32"/>
        </w:rPr>
        <w:t>新颁布的安全生产法律法规</w:t>
      </w:r>
    </w:p>
    <w:p>
      <w:pPr>
        <w:spacing w:line="520" w:lineRule="exact"/>
        <w:ind w:firstLine="555"/>
        <w:jc w:val="left"/>
        <w:rPr>
          <w:rFonts w:ascii="仿宋_GB2312" w:eastAsia="仿宋_GB2312"/>
          <w:sz w:val="32"/>
          <w:szCs w:val="32"/>
        </w:rPr>
      </w:pPr>
      <w:r>
        <w:rPr>
          <w:rFonts w:hint="eastAsia" w:ascii="仿宋_GB2312" w:eastAsia="仿宋_GB2312"/>
          <w:sz w:val="32"/>
          <w:szCs w:val="32"/>
        </w:rPr>
        <w:t>1.《中华人民共和国特种设备安全法》（中华人民共和国主席令第4号）</w:t>
      </w:r>
    </w:p>
    <w:p>
      <w:pPr>
        <w:spacing w:line="520" w:lineRule="exact"/>
        <w:ind w:firstLine="555"/>
        <w:jc w:val="left"/>
        <w:rPr>
          <w:rFonts w:ascii="仿宋_GB2312" w:eastAsia="仿宋_GB2312"/>
          <w:sz w:val="32"/>
          <w:szCs w:val="32"/>
        </w:rPr>
      </w:pPr>
      <w:r>
        <w:rPr>
          <w:rFonts w:hint="eastAsia" w:ascii="仿宋_GB2312" w:eastAsia="仿宋_GB2312"/>
          <w:sz w:val="32"/>
          <w:szCs w:val="32"/>
        </w:rPr>
        <w:t>2.《最高人民法院、最高人民检察院关于办理危害生产安全刑事案件适用法律若干问题的解释》（法释〔2015〕22号）</w:t>
      </w:r>
    </w:p>
    <w:p>
      <w:pPr>
        <w:spacing w:line="520" w:lineRule="exact"/>
        <w:ind w:firstLine="556"/>
        <w:jc w:val="left"/>
        <w:rPr>
          <w:rFonts w:ascii="仿宋_GB2312" w:eastAsia="仿宋_GB2312"/>
          <w:sz w:val="32"/>
          <w:szCs w:val="32"/>
        </w:rPr>
      </w:pPr>
      <w:r>
        <w:rPr>
          <w:rFonts w:hint="eastAsia" w:ascii="仿宋_GB2312" w:eastAsia="仿宋_GB2312"/>
          <w:sz w:val="32"/>
          <w:szCs w:val="32"/>
        </w:rPr>
        <w:t>3.《尾矿库安全监督管理规定》（国家安全生产监督管理总局令第38号公布，第78号修正）</w:t>
      </w:r>
    </w:p>
    <w:p>
      <w:pPr>
        <w:spacing w:line="520" w:lineRule="exact"/>
        <w:ind w:firstLine="556"/>
        <w:jc w:val="left"/>
        <w:rPr>
          <w:rFonts w:ascii="仿宋_GB2312" w:eastAsia="仿宋_GB2312"/>
          <w:sz w:val="32"/>
          <w:szCs w:val="32"/>
        </w:rPr>
      </w:pPr>
      <w:r>
        <w:rPr>
          <w:rFonts w:hint="eastAsia" w:ascii="仿宋_GB2312" w:eastAsia="仿宋_GB2312"/>
          <w:sz w:val="32"/>
          <w:szCs w:val="32"/>
        </w:rPr>
        <w:t>4.《危险化学品重大危险源监督管理暂行规定》（国家安全生产监督管理总局令第40号公布，第79号修正）</w:t>
      </w:r>
    </w:p>
    <w:p>
      <w:pPr>
        <w:spacing w:line="520" w:lineRule="exact"/>
        <w:ind w:firstLine="556"/>
        <w:jc w:val="left"/>
        <w:rPr>
          <w:rFonts w:ascii="仿宋_GB2312" w:eastAsia="仿宋_GB2312"/>
          <w:sz w:val="32"/>
          <w:szCs w:val="32"/>
        </w:rPr>
      </w:pPr>
      <w:r>
        <w:rPr>
          <w:rFonts w:hint="eastAsia" w:ascii="仿宋_GB2312" w:eastAsia="仿宋_GB2312"/>
          <w:sz w:val="32"/>
          <w:szCs w:val="32"/>
        </w:rPr>
        <w:t>5.《危险化学品生产企业安全生产许可证实施办法》（国家安全生产监督管理总局令第41号公布，第79号、第89号修正）</w:t>
      </w:r>
    </w:p>
    <w:p>
      <w:pPr>
        <w:spacing w:line="520" w:lineRule="exact"/>
        <w:ind w:firstLine="556"/>
        <w:jc w:val="left"/>
        <w:rPr>
          <w:rFonts w:ascii="仿宋_GB2312" w:eastAsia="仿宋_GB2312"/>
          <w:sz w:val="32"/>
          <w:szCs w:val="32"/>
        </w:rPr>
      </w:pPr>
      <w:r>
        <w:rPr>
          <w:rFonts w:hint="eastAsia" w:ascii="仿宋_GB2312" w:eastAsia="仿宋_GB2312"/>
          <w:sz w:val="32"/>
          <w:szCs w:val="32"/>
        </w:rPr>
        <w:t>6.《危险化学品输送管道安全管理规定》（国家安全生产监督管理总局令第43号公布，第79号修正）</w:t>
      </w:r>
    </w:p>
    <w:p>
      <w:pPr>
        <w:spacing w:line="520" w:lineRule="exact"/>
        <w:ind w:firstLine="556"/>
        <w:jc w:val="left"/>
        <w:rPr>
          <w:rFonts w:ascii="仿宋_GB2312" w:eastAsia="仿宋_GB2312"/>
          <w:sz w:val="32"/>
          <w:szCs w:val="32"/>
        </w:rPr>
      </w:pPr>
      <w:r>
        <w:rPr>
          <w:rFonts w:hint="eastAsia" w:ascii="仿宋_GB2312" w:eastAsia="仿宋_GB2312"/>
          <w:sz w:val="32"/>
          <w:szCs w:val="32"/>
        </w:rPr>
        <w:t>7．《安全生产培训管理办法》（国家安全生产监督管理总局令第44号公布，第63号、第80号修正）</w:t>
      </w:r>
    </w:p>
    <w:p>
      <w:pPr>
        <w:spacing w:line="520" w:lineRule="exact"/>
        <w:ind w:firstLine="556"/>
        <w:jc w:val="left"/>
        <w:rPr>
          <w:rFonts w:ascii="仿宋_GB2312" w:eastAsia="仿宋_GB2312"/>
          <w:sz w:val="32"/>
          <w:szCs w:val="32"/>
        </w:rPr>
      </w:pPr>
      <w:r>
        <w:rPr>
          <w:rFonts w:hint="eastAsia" w:ascii="仿宋_GB2312" w:eastAsia="仿宋_GB2312"/>
          <w:sz w:val="32"/>
          <w:szCs w:val="32"/>
        </w:rPr>
        <w:t>8．《危险化学品建设项目安全监督管理办法》（国家安全生产监督管理总局令第45号公布，第79号修正）</w:t>
      </w:r>
    </w:p>
    <w:p>
      <w:pPr>
        <w:spacing w:line="520" w:lineRule="exact"/>
        <w:ind w:firstLine="556"/>
        <w:jc w:val="left"/>
        <w:rPr>
          <w:rFonts w:ascii="仿宋_GB2312" w:eastAsia="仿宋_GB2312"/>
          <w:sz w:val="32"/>
          <w:szCs w:val="32"/>
        </w:rPr>
      </w:pPr>
      <w:r>
        <w:rPr>
          <w:rFonts w:hint="eastAsia" w:ascii="仿宋_GB2312" w:eastAsia="仿宋_GB2312"/>
          <w:sz w:val="32"/>
          <w:szCs w:val="32"/>
        </w:rPr>
        <w:t>9．《工作场所职业卫生监督管理规定》（国家安全生产监督管理总局令第47号公布）</w:t>
      </w:r>
    </w:p>
    <w:p>
      <w:pPr>
        <w:spacing w:line="520" w:lineRule="exact"/>
        <w:ind w:firstLine="556"/>
        <w:jc w:val="left"/>
        <w:rPr>
          <w:rFonts w:ascii="仿宋_GB2312" w:eastAsia="仿宋_GB2312"/>
          <w:sz w:val="32"/>
          <w:szCs w:val="32"/>
        </w:rPr>
      </w:pPr>
      <w:r>
        <w:rPr>
          <w:rFonts w:hint="eastAsia" w:ascii="仿宋_GB2312" w:eastAsia="仿宋_GB2312"/>
          <w:sz w:val="32"/>
          <w:szCs w:val="32"/>
        </w:rPr>
        <w:t>10．《职业病危害项目申报办法》（国家安全生产监督管理总局令第48号公布）</w:t>
      </w:r>
    </w:p>
    <w:p>
      <w:pPr>
        <w:spacing w:line="520" w:lineRule="exact"/>
        <w:ind w:firstLine="556"/>
        <w:jc w:val="left"/>
        <w:rPr>
          <w:rFonts w:ascii="仿宋_GB2312" w:eastAsia="仿宋_GB2312"/>
          <w:sz w:val="32"/>
          <w:szCs w:val="32"/>
        </w:rPr>
      </w:pPr>
      <w:r>
        <w:rPr>
          <w:rFonts w:hint="eastAsia" w:ascii="仿宋_GB2312" w:eastAsia="仿宋_GB2312"/>
          <w:sz w:val="32"/>
          <w:szCs w:val="32"/>
        </w:rPr>
        <w:t>11．《用人单位职业健康监护监督管理办法》（国家安全生产监督管理总局令第49号公布）</w:t>
      </w:r>
    </w:p>
    <w:p>
      <w:pPr>
        <w:spacing w:line="520" w:lineRule="exact"/>
        <w:ind w:firstLine="556"/>
        <w:jc w:val="left"/>
        <w:rPr>
          <w:rFonts w:ascii="仿宋_GB2312" w:eastAsia="仿宋_GB2312"/>
          <w:sz w:val="32"/>
          <w:szCs w:val="32"/>
        </w:rPr>
      </w:pPr>
      <w:r>
        <w:rPr>
          <w:rFonts w:hint="eastAsia" w:ascii="仿宋_GB2312" w:eastAsia="仿宋_GB2312"/>
          <w:sz w:val="32"/>
          <w:szCs w:val="32"/>
        </w:rPr>
        <w:t>12</w:t>
      </w:r>
      <w:r>
        <w:rPr>
          <w:rFonts w:ascii="仿宋_GB2312" w:eastAsia="仿宋_GB2312"/>
          <w:sz w:val="32"/>
          <w:szCs w:val="32"/>
        </w:rPr>
        <w:t>.</w:t>
      </w:r>
      <w:r>
        <w:rPr>
          <w:rFonts w:hint="eastAsia" w:ascii="仿宋_GB2312" w:eastAsia="仿宋_GB2312"/>
          <w:sz w:val="32"/>
          <w:szCs w:val="32"/>
        </w:rPr>
        <w:t>《烟花爆竹生产企业安全生产许可证实施办法》（国家安全生产监督管理总局令第54号公布）</w:t>
      </w:r>
    </w:p>
    <w:p>
      <w:pPr>
        <w:spacing w:line="520" w:lineRule="exact"/>
        <w:ind w:firstLine="556"/>
        <w:jc w:val="left"/>
        <w:rPr>
          <w:rFonts w:ascii="仿宋_GB2312" w:eastAsia="仿宋_GB2312"/>
          <w:sz w:val="32"/>
          <w:szCs w:val="32"/>
        </w:rPr>
      </w:pPr>
      <w:r>
        <w:rPr>
          <w:rFonts w:hint="eastAsia" w:ascii="仿宋_GB2312" w:eastAsia="仿宋_GB2312"/>
          <w:sz w:val="32"/>
          <w:szCs w:val="32"/>
        </w:rPr>
        <w:t>13</w:t>
      </w:r>
      <w:r>
        <w:rPr>
          <w:rFonts w:ascii="仿宋_GB2312" w:eastAsia="仿宋_GB2312"/>
          <w:sz w:val="32"/>
          <w:szCs w:val="32"/>
        </w:rPr>
        <w:t>.</w:t>
      </w:r>
      <w:r>
        <w:rPr>
          <w:rFonts w:hint="eastAsia" w:ascii="仿宋_GB2312" w:eastAsia="仿宋_GB2312"/>
          <w:sz w:val="32"/>
          <w:szCs w:val="32"/>
        </w:rPr>
        <w:t>《危险化学品安全使用许可证实施办法》（国家安全生产监督管理总局令第57号公布，第79号、第89号修正）</w:t>
      </w:r>
    </w:p>
    <w:p>
      <w:pPr>
        <w:spacing w:line="520" w:lineRule="exact"/>
        <w:ind w:firstLine="556"/>
        <w:jc w:val="left"/>
        <w:rPr>
          <w:rFonts w:ascii="仿宋_GB2312" w:eastAsia="仿宋_GB2312"/>
          <w:sz w:val="32"/>
          <w:szCs w:val="32"/>
        </w:rPr>
      </w:pPr>
      <w:r>
        <w:rPr>
          <w:rFonts w:hint="eastAsia" w:ascii="仿宋_GB2312" w:eastAsia="仿宋_GB2312"/>
          <w:sz w:val="32"/>
          <w:szCs w:val="32"/>
        </w:rPr>
        <w:t>14</w:t>
      </w:r>
      <w:r>
        <w:rPr>
          <w:rFonts w:ascii="仿宋_GB2312" w:eastAsia="仿宋_GB2312"/>
          <w:sz w:val="32"/>
          <w:szCs w:val="32"/>
        </w:rPr>
        <w:t>.</w:t>
      </w:r>
      <w:r>
        <w:rPr>
          <w:rFonts w:hint="eastAsia" w:ascii="仿宋_GB2312" w:eastAsia="仿宋_GB2312"/>
          <w:sz w:val="32"/>
          <w:szCs w:val="32"/>
        </w:rPr>
        <w:t>《工贸企业有限空间作业安全管理与监督暂行规定》（国家安全生产监督管理总局令第59号公布，第80号修正）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15</w:t>
      </w:r>
      <w:r>
        <w:rPr>
          <w:rFonts w:ascii="仿宋_GB2312" w:eastAsia="仿宋_GB2312"/>
          <w:sz w:val="32"/>
          <w:szCs w:val="32"/>
        </w:rPr>
        <w:t>.</w:t>
      </w:r>
      <w:r>
        <w:rPr>
          <w:rFonts w:hint="eastAsia" w:ascii="仿宋_GB2312" w:eastAsia="仿宋_GB2312"/>
          <w:sz w:val="32"/>
          <w:szCs w:val="32"/>
        </w:rPr>
        <w:t>《非煤矿山外包工程安全管理暂行办法》（国家安全生产监督管理总局令第62号公布，第78号修正）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16</w:t>
      </w:r>
      <w:r>
        <w:rPr>
          <w:rFonts w:ascii="仿宋_GB2312" w:eastAsia="仿宋_GB2312"/>
          <w:sz w:val="32"/>
          <w:szCs w:val="32"/>
        </w:rPr>
        <w:t>.</w:t>
      </w:r>
      <w:r>
        <w:rPr>
          <w:rFonts w:hint="eastAsia" w:ascii="仿宋_GB2312" w:eastAsia="仿宋_GB2312"/>
          <w:sz w:val="32"/>
          <w:szCs w:val="32"/>
        </w:rPr>
        <w:t>《食品生产企业安全生产监督管理暂行规定》（国家安全生产监督管理总局令第66号公布，第80号修正）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17</w:t>
      </w:r>
      <w:r>
        <w:rPr>
          <w:rFonts w:ascii="仿宋_GB2312" w:eastAsia="仿宋_GB2312"/>
          <w:sz w:val="32"/>
          <w:szCs w:val="32"/>
        </w:rPr>
        <w:t>.</w:t>
      </w:r>
      <w:r>
        <w:rPr>
          <w:rFonts w:hint="eastAsia" w:ascii="仿宋_GB2312" w:eastAsia="仿宋_GB2312"/>
          <w:sz w:val="32"/>
          <w:szCs w:val="32"/>
        </w:rPr>
        <w:t>《煤矿企业安全生产许可证实施办法》（国家安全生产监督管理总局令第86号公布，第89号修正）</w:t>
      </w:r>
    </w:p>
    <w:p>
      <w:pPr>
        <w:spacing w:line="520" w:lineRule="exact"/>
        <w:ind w:firstLine="555"/>
        <w:jc w:val="left"/>
        <w:rPr>
          <w:rFonts w:ascii="仿宋_GB2312" w:eastAsia="仿宋_GB2312"/>
          <w:sz w:val="32"/>
          <w:szCs w:val="32"/>
        </w:rPr>
      </w:pPr>
      <w:r>
        <w:rPr>
          <w:rFonts w:hint="eastAsia" w:ascii="仿宋_GB2312" w:eastAsia="仿宋_GB2312"/>
          <w:sz w:val="32"/>
          <w:szCs w:val="32"/>
        </w:rPr>
        <w:t>18</w:t>
      </w:r>
      <w:r>
        <w:rPr>
          <w:rFonts w:ascii="仿宋_GB2312" w:eastAsia="仿宋_GB2312"/>
          <w:sz w:val="32"/>
          <w:szCs w:val="32"/>
        </w:rPr>
        <w:t>.</w:t>
      </w:r>
      <w:r>
        <w:rPr>
          <w:rFonts w:hint="eastAsia" w:ascii="仿宋_GB2312" w:eastAsia="仿宋_GB2312"/>
          <w:sz w:val="32"/>
          <w:szCs w:val="32"/>
        </w:rPr>
        <w:t>《生产安全事故应急预案管理办法》（国家安全生产监督管理总局令第88号公布）</w:t>
      </w:r>
    </w:p>
    <w:p>
      <w:pPr>
        <w:spacing w:line="520" w:lineRule="exact"/>
        <w:ind w:firstLine="555"/>
        <w:jc w:val="left"/>
        <w:rPr>
          <w:rFonts w:ascii="仿宋_GB2312" w:eastAsia="仿宋_GB2312"/>
          <w:sz w:val="32"/>
          <w:szCs w:val="32"/>
        </w:rPr>
      </w:pPr>
      <w:r>
        <w:rPr>
          <w:rFonts w:hint="eastAsia" w:ascii="仿宋_GB2312" w:eastAsia="仿宋_GB2312"/>
          <w:sz w:val="32"/>
          <w:szCs w:val="32"/>
        </w:rPr>
        <w:t>19</w:t>
      </w:r>
      <w:r>
        <w:rPr>
          <w:rFonts w:ascii="仿宋_GB2312" w:eastAsia="仿宋_GB2312"/>
          <w:sz w:val="32"/>
          <w:szCs w:val="32"/>
        </w:rPr>
        <w:t>.</w:t>
      </w:r>
      <w:r>
        <w:rPr>
          <w:rFonts w:hint="eastAsia" w:ascii="仿宋_GB2312" w:eastAsia="仿宋_GB2312"/>
          <w:sz w:val="32"/>
          <w:szCs w:val="32"/>
        </w:rPr>
        <w:t>《建设项目职业病防护设施“三同时”监督管理办法》（国家安全生产监督管理总局令第90号公布）</w:t>
      </w:r>
    </w:p>
    <w:p>
      <w:pPr>
        <w:spacing w:line="520" w:lineRule="exact"/>
        <w:ind w:firstLine="555"/>
        <w:jc w:val="left"/>
        <w:rPr>
          <w:rFonts w:ascii="仿宋_GB2312" w:eastAsia="仿宋_GB2312"/>
          <w:sz w:val="32"/>
          <w:szCs w:val="32"/>
        </w:rPr>
      </w:pPr>
      <w:r>
        <w:rPr>
          <w:rFonts w:hint="eastAsia" w:ascii="仿宋_GB2312" w:eastAsia="仿宋_GB2312"/>
          <w:sz w:val="32"/>
          <w:szCs w:val="32"/>
        </w:rPr>
        <w:t>20</w:t>
      </w:r>
      <w:r>
        <w:rPr>
          <w:rFonts w:ascii="仿宋_GB2312" w:eastAsia="仿宋_GB2312"/>
          <w:sz w:val="32"/>
          <w:szCs w:val="32"/>
        </w:rPr>
        <w:t>.</w:t>
      </w:r>
      <w:r>
        <w:rPr>
          <w:rFonts w:hint="eastAsia" w:ascii="仿宋_GB2312" w:eastAsia="仿宋_GB2312"/>
          <w:sz w:val="32"/>
          <w:szCs w:val="32"/>
        </w:rPr>
        <w:t>《冶金企业和有色金属企业安全生产规定》（国家安全生产监督管理总局令第91号公布）</w:t>
      </w:r>
    </w:p>
    <w:p>
      <w:pPr>
        <w:spacing w:line="520" w:lineRule="exact"/>
        <w:ind w:firstLine="555"/>
        <w:jc w:val="left"/>
        <w:rPr>
          <w:rFonts w:ascii="仿宋_GB2312" w:eastAsia="仿宋_GB2312"/>
          <w:sz w:val="32"/>
          <w:szCs w:val="32"/>
        </w:rPr>
      </w:pPr>
      <w:r>
        <w:rPr>
          <w:rFonts w:hint="eastAsia" w:ascii="仿宋_GB2312" w:eastAsia="仿宋_GB2312"/>
          <w:sz w:val="32"/>
          <w:szCs w:val="32"/>
        </w:rPr>
        <w:t>21</w:t>
      </w:r>
      <w:r>
        <w:rPr>
          <w:rFonts w:ascii="仿宋_GB2312" w:eastAsia="仿宋_GB2312"/>
          <w:sz w:val="32"/>
          <w:szCs w:val="32"/>
        </w:rPr>
        <w:t>.</w:t>
      </w:r>
      <w:r>
        <w:rPr>
          <w:rFonts w:hint="eastAsia" w:ascii="仿宋_GB2312" w:eastAsia="仿宋_GB2312"/>
          <w:sz w:val="32"/>
          <w:szCs w:val="32"/>
        </w:rPr>
        <w:t>《煤矿安全培训规定》（国家安全生产监督管理总局令第92号公布）</w:t>
      </w:r>
    </w:p>
    <w:p>
      <w:pPr>
        <w:spacing w:line="520" w:lineRule="exact"/>
        <w:ind w:firstLine="640" w:firstLineChars="200"/>
        <w:rPr>
          <w:rFonts w:ascii="仿宋_GB2312" w:eastAsia="仿宋_GB2312"/>
          <w:sz w:val="32"/>
          <w:szCs w:val="32"/>
        </w:rPr>
      </w:pPr>
      <w:bookmarkStart w:id="0" w:name="_GoBack"/>
      <w:bookmarkEnd w:id="0"/>
      <w:r>
        <w:rPr>
          <w:rFonts w:hint="eastAsia" w:ascii="仿宋_GB2312" w:eastAsia="仿宋_GB2312"/>
          <w:sz w:val="32"/>
          <w:szCs w:val="32"/>
        </w:rPr>
        <w:t>22</w:t>
      </w:r>
      <w:r>
        <w:rPr>
          <w:rFonts w:ascii="仿宋_GB2312" w:eastAsia="仿宋_GB2312"/>
          <w:sz w:val="32"/>
          <w:szCs w:val="32"/>
        </w:rPr>
        <w:t>.</w:t>
      </w:r>
      <w:r>
        <w:rPr>
          <w:rFonts w:hint="eastAsia" w:ascii="仿宋_GB2312" w:eastAsia="仿宋_GB2312"/>
          <w:sz w:val="32"/>
          <w:szCs w:val="32"/>
        </w:rPr>
        <w:t>《烟花爆竹生产经营安全规定》（国家安全生产监督管理总局令第93号公布）</w:t>
      </w:r>
    </w:p>
    <w:p>
      <w:pPr>
        <w:pStyle w:val="4"/>
        <w:widowControl/>
        <w:ind w:left="420" w:leftChars="200"/>
        <w:rPr>
          <w:rFonts w:hint="eastAsia" w:ascii="微软雅黑" w:hAnsi="微软雅黑" w:eastAsia="微软雅黑" w:cs="微软雅黑"/>
          <w:color w:val="333333"/>
          <w:sz w:val="18"/>
          <w:szCs w:val="18"/>
        </w:rPr>
      </w:pPr>
    </w:p>
    <w:p/>
    <w:sectPr>
      <w:footerReference r:id="rId3" w:type="default"/>
      <w:footerReference r:id="rId4" w:type="even"/>
      <w:pgSz w:w="11906" w:h="16838"/>
      <w:pgMar w:top="2098" w:right="1531" w:bottom="1985" w:left="1531" w:header="851" w:footer="1644"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xGInwbcBAABVAwAADgAAAAAAAAABACAAAAAiAQAAZHJzL2Uyb0RvYy54bWxQSwUGAAAAAAYA&#10;BgBZAQAASwUAAAAA&#10;">
              <v:path/>
              <v:fill on="f" focussize="0,0"/>
              <v:stroke on="f" weight="1.25pt"/>
              <v:imagedata o:title=""/>
              <o:lock v:ext="edit" aspectratio="f"/>
              <v:textbox inset="0mm,0mm,0mm,0mm" style="mso-fit-shape-to-text:t;">
                <w:txbxContent>
                  <w:p>
                    <w:pPr>
                      <w:rPr>
                        <w:rFonts w:hint="eastAsia"/>
                      </w:rPr>
                    </w:pPr>
                  </w:p>
                </w:txbxContent>
              </v:textbox>
            </v:shape>
          </w:pict>
        </mc:Fallback>
      </mc:AlternateContent>
    </w: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wordWrap w:val="0"/>
                            <w:ind w:right="315" w:rightChars="150"/>
                            <w:jc w:val="both"/>
                          </w:pPr>
                          <w:r>
                            <w:rPr>
                              <w:rFonts w:hint="eastAsia"/>
                              <w:sz w:val="28"/>
                              <w:szCs w:val="28"/>
                            </w:rPr>
                            <w:t xml:space="preserve"> </w:t>
                          </w:r>
                        </w:p>
                        <w:p>
                          <w:pPr>
                            <w:pStyle w:val="3"/>
                            <w:rPr>
                              <w:rFonts w:hint="eastAsia" w:eastAsia="宋体"/>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jUQibcBAABVAwAADgAAAAAAAAABACAAAAAiAQAAZHJzL2Uyb0RvYy54bWxQSwUGAAAAAAYA&#10;BgBZAQAASwUAAAAA&#10;">
              <v:path/>
              <v:fill on="f" focussize="0,0"/>
              <v:stroke on="f" weight="1.25pt"/>
              <v:imagedata o:title=""/>
              <o:lock v:ext="edit" aspectratio="f"/>
              <v:textbox inset="0mm,0mm,0mm,0mm" style="mso-fit-shape-to-text:t;">
                <w:txbxContent>
                  <w:p>
                    <w:pPr>
                      <w:pStyle w:val="3"/>
                      <w:wordWrap w:val="0"/>
                      <w:ind w:right="315" w:rightChars="150"/>
                      <w:jc w:val="both"/>
                    </w:pPr>
                    <w:r>
                      <w:rPr>
                        <w:rFonts w:hint="eastAsia"/>
                        <w:sz w:val="28"/>
                        <w:szCs w:val="28"/>
                      </w:rPr>
                      <w:t xml:space="preserve"> </w:t>
                    </w:r>
                  </w:p>
                  <w:p>
                    <w:pPr>
                      <w:pStyle w:val="3"/>
                      <w:rPr>
                        <w:rFonts w:hint="eastAsia" w:eastAsia="宋体"/>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560"/>
      <w:rPr>
        <w:rFonts w:ascii="宋体" w:hAnsi="宋体" w:eastAsia="宋体"/>
        <w:sz w:val="28"/>
        <w:szCs w:val="28"/>
      </w:rPr>
    </w:pPr>
    <w:r>
      <w:rPr>
        <w:sz w:val="2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3"/>
                            <w:ind w:right="560"/>
                          </w:pPr>
                          <w:r>
                            <w:rPr>
                              <w:rFonts w:ascii="宋体" w:hAnsi="宋体" w:eastAsia="宋体"/>
                              <w:sz w:val="28"/>
                              <w:szCs w:val="28"/>
                            </w:rPr>
                            <w:t>—</w:t>
                          </w:r>
                          <w:r>
                            <w:rPr>
                              <w:rFonts w:hint="eastAsia" w:ascii="宋体" w:hAnsi="宋体" w:eastAsia="宋体"/>
                              <w:sz w:val="15"/>
                              <w:szCs w:val="15"/>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13"/>
                              <w:szCs w:val="13"/>
                            </w:rPr>
                            <w:t xml:space="preserve"> </w:t>
                          </w:r>
                          <w:r>
                            <w:rPr>
                              <w:rFonts w:ascii="宋体" w:hAnsi="宋体" w:eastAsia="宋体"/>
                              <w:sz w:val="28"/>
                              <w:szCs w:val="28"/>
                            </w:rPr>
                            <w:t>—</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AAAAAZHJzL1BLAQIUABQAAAAIAIdO4kBo&#10;aYJL0wAAAAUBAAAPAAAAAAAAAAEAIAAAACIAAABkcnMvZG93bnJldi54bWxQSwECFAAUAAAACACH&#10;TuJAEVLlT7cBAABVAwAADgAAAAAAAAABACAAAAAiAQAAZHJzL2Uyb0RvYy54bWxQSwUGAAAAAAYA&#10;BgBZAQAASwUAAAAA&#10;">
              <v:path/>
              <v:fill on="f" focussize="0,0"/>
              <v:stroke on="f" weight="1.25pt"/>
              <v:imagedata o:title=""/>
              <o:lock v:ext="edit" aspectratio="f"/>
              <v:textbox inset="0mm,0mm,0mm,0mm" style="mso-fit-shape-to-text:t;">
                <w:txbxContent>
                  <w:p>
                    <w:pPr>
                      <w:pStyle w:val="3"/>
                      <w:ind w:right="560"/>
                    </w:pPr>
                    <w:r>
                      <w:rPr>
                        <w:rFonts w:ascii="宋体" w:hAnsi="宋体" w:eastAsia="宋体"/>
                        <w:sz w:val="28"/>
                        <w:szCs w:val="28"/>
                      </w:rPr>
                      <w:t>—</w:t>
                    </w:r>
                    <w:r>
                      <w:rPr>
                        <w:rFonts w:hint="eastAsia" w:ascii="宋体" w:hAnsi="宋体" w:eastAsia="宋体"/>
                        <w:sz w:val="15"/>
                        <w:szCs w:val="15"/>
                      </w:rPr>
                      <w:t xml:space="preserve"> </w:t>
                    </w:r>
                    <w:r>
                      <w:rPr>
                        <w:rFonts w:ascii="宋体" w:hAnsi="宋体" w:eastAsia="宋体"/>
                        <w:sz w:val="28"/>
                        <w:szCs w:val="28"/>
                      </w:rPr>
                      <w:fldChar w:fldCharType="begin"/>
                    </w:r>
                    <w:r>
                      <w:rPr>
                        <w:rFonts w:ascii="宋体" w:hAnsi="宋体" w:eastAsia="宋体"/>
                        <w:sz w:val="28"/>
                        <w:szCs w:val="28"/>
                      </w:rPr>
                      <w:instrText xml:space="preserve">PAGE   \* MERGEFORMAT</w:instrText>
                    </w:r>
                    <w:r>
                      <w:rPr>
                        <w:rFonts w:ascii="宋体" w:hAnsi="宋体" w:eastAsia="宋体"/>
                        <w:sz w:val="28"/>
                        <w:szCs w:val="28"/>
                      </w:rPr>
                      <w:fldChar w:fldCharType="separate"/>
                    </w:r>
                    <w:r>
                      <w:rPr>
                        <w:rFonts w:ascii="宋体" w:hAnsi="宋体" w:eastAsia="宋体"/>
                        <w:sz w:val="28"/>
                        <w:szCs w:val="28"/>
                        <w:lang w:val="zh-CN"/>
                      </w:rPr>
                      <w:t>6</w:t>
                    </w:r>
                    <w:r>
                      <w:rPr>
                        <w:rFonts w:ascii="宋体" w:hAnsi="宋体" w:eastAsia="宋体"/>
                        <w:sz w:val="28"/>
                        <w:szCs w:val="28"/>
                      </w:rPr>
                      <w:fldChar w:fldCharType="end"/>
                    </w:r>
                    <w:r>
                      <w:rPr>
                        <w:rFonts w:hint="eastAsia" w:ascii="宋体" w:hAnsi="宋体" w:eastAsia="宋体"/>
                        <w:sz w:val="13"/>
                        <w:szCs w:val="13"/>
                      </w:rPr>
                      <w:t xml:space="preserve"> </w:t>
                    </w:r>
                    <w:r>
                      <w:rPr>
                        <w:rFonts w:ascii="宋体" w:hAnsi="宋体" w:eastAsia="宋体"/>
                        <w:sz w:val="28"/>
                        <w:szCs w:val="28"/>
                      </w:rPr>
                      <w:t>—</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14065E2"/>
    <w:multiLevelType w:val="multilevel"/>
    <w:tmpl w:val="414065E2"/>
    <w:lvl w:ilvl="0" w:tentative="0">
      <w:start w:val="1"/>
      <w:numFmt w:val="japaneseCounting"/>
      <w:lvlText w:val="%1、"/>
      <w:lvlJc w:val="left"/>
      <w:pPr>
        <w:ind w:left="1275" w:hanging="720"/>
      </w:pPr>
      <w:rPr>
        <w:rFonts w:hint="default" w:ascii="Times New Roman"/>
        <w:u w:val="none" w:color="auto"/>
      </w:rPr>
    </w:lvl>
    <w:lvl w:ilvl="1" w:tentative="0">
      <w:start w:val="1"/>
      <w:numFmt w:val="lowerLetter"/>
      <w:lvlText w:val="%2)"/>
      <w:lvlJc w:val="left"/>
      <w:pPr>
        <w:ind w:left="1395" w:hanging="420"/>
      </w:pPr>
      <w:rPr>
        <w:rFonts w:hint="default" w:ascii="Times New Roman"/>
        <w:u w:val="none" w:color="auto"/>
      </w:rPr>
    </w:lvl>
    <w:lvl w:ilvl="2" w:tentative="0">
      <w:start w:val="1"/>
      <w:numFmt w:val="lowerRoman"/>
      <w:lvlText w:val="%3."/>
      <w:lvlJc w:val="right"/>
      <w:pPr>
        <w:ind w:left="1815" w:hanging="420"/>
      </w:pPr>
      <w:rPr>
        <w:rFonts w:hint="default" w:ascii="Times New Roman"/>
        <w:u w:val="none" w:color="auto"/>
      </w:rPr>
    </w:lvl>
    <w:lvl w:ilvl="3" w:tentative="0">
      <w:start w:val="1"/>
      <w:numFmt w:val="decimal"/>
      <w:lvlText w:val="%4."/>
      <w:lvlJc w:val="left"/>
      <w:pPr>
        <w:ind w:left="2235" w:hanging="420"/>
      </w:pPr>
      <w:rPr>
        <w:rFonts w:hint="default" w:ascii="Times New Roman"/>
        <w:u w:val="none" w:color="auto"/>
      </w:rPr>
    </w:lvl>
    <w:lvl w:ilvl="4" w:tentative="0">
      <w:start w:val="1"/>
      <w:numFmt w:val="lowerLetter"/>
      <w:lvlText w:val="%5)"/>
      <w:lvlJc w:val="left"/>
      <w:pPr>
        <w:ind w:left="2655" w:hanging="420"/>
      </w:pPr>
      <w:rPr>
        <w:rFonts w:hint="default" w:ascii="Times New Roman"/>
        <w:u w:val="none" w:color="auto"/>
      </w:rPr>
    </w:lvl>
    <w:lvl w:ilvl="5" w:tentative="0">
      <w:start w:val="1"/>
      <w:numFmt w:val="lowerRoman"/>
      <w:lvlText w:val="%6."/>
      <w:lvlJc w:val="right"/>
      <w:pPr>
        <w:ind w:left="3075" w:hanging="420"/>
      </w:pPr>
      <w:rPr>
        <w:rFonts w:hint="default" w:ascii="Times New Roman"/>
        <w:u w:val="none" w:color="auto"/>
      </w:rPr>
    </w:lvl>
    <w:lvl w:ilvl="6" w:tentative="0">
      <w:start w:val="1"/>
      <w:numFmt w:val="decimal"/>
      <w:lvlText w:val="%7."/>
      <w:lvlJc w:val="left"/>
      <w:pPr>
        <w:ind w:left="3495" w:hanging="420"/>
      </w:pPr>
      <w:rPr>
        <w:rFonts w:hint="default" w:ascii="Times New Roman"/>
        <w:u w:val="none" w:color="auto"/>
      </w:rPr>
    </w:lvl>
    <w:lvl w:ilvl="7" w:tentative="0">
      <w:start w:val="1"/>
      <w:numFmt w:val="lowerLetter"/>
      <w:lvlText w:val="%8)"/>
      <w:lvlJc w:val="left"/>
      <w:pPr>
        <w:ind w:left="3915" w:hanging="420"/>
      </w:pPr>
      <w:rPr>
        <w:rFonts w:hint="default" w:ascii="Times New Roman"/>
        <w:u w:val="none" w:color="auto"/>
      </w:rPr>
    </w:lvl>
    <w:lvl w:ilvl="8" w:tentative="0">
      <w:start w:val="1"/>
      <w:numFmt w:val="lowerRoman"/>
      <w:lvlText w:val="%9."/>
      <w:lvlJc w:val="right"/>
      <w:pPr>
        <w:ind w:left="4335" w:hanging="420"/>
      </w:pPr>
      <w:rPr>
        <w:rFonts w:hint="default" w:ascii="Times New Roman"/>
        <w:u w:val="none" w:color="auto"/>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D016C4E"/>
    <w:rsid w:val="2D016C4E"/>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6">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uiPriority w:val="99"/>
    <w:pPr>
      <w:tabs>
        <w:tab w:val="center" w:pos="4153"/>
        <w:tab w:val="right" w:pos="8306"/>
      </w:tabs>
      <w:snapToGrid w:val="0"/>
      <w:jc w:val="left"/>
    </w:pPr>
    <w:rPr>
      <w:rFonts w:eastAsia="仿宋_GB2312"/>
      <w:sz w:val="18"/>
      <w:szCs w:val="18"/>
    </w:rPr>
  </w:style>
  <w:style w:type="paragraph" w:styleId="4">
    <w:name w:val="Normal (Web)"/>
    <w:basedOn w:val="1"/>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paragraph" w:customStyle="1" w:styleId="7">
    <w:name w:val="列出段落1"/>
    <w:basedOn w:val="1"/>
    <w:unhideWhenUsed/>
    <w:qFormat/>
    <w:uiPriority w:val="34"/>
    <w:pPr>
      <w:spacing w:beforeLines="0" w:afterLines="0"/>
      <w:ind w:firstLine="420" w:firstLineChars="200"/>
    </w:pPr>
    <w:rPr>
      <w:rFonts w:hint="eastAsia"/>
      <w:sz w:val="21"/>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zcf\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Office_10.1.0.7520_F1E327BC-269C-435d-A152-05C5408002CA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2018-08-21T06:01:00Z</dcterms:created>
  <dc:creator>zcf</dc:creator>
  <cp:lastModifiedBy>zcf</cp:lastModifiedBy>
  <dcterms:modified xsi:type="dcterms:W3CDTF">2018-08-21T06:01:59Z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2052-10.1.0.7520</vt:lpwstr>
  </property>
</Properties>
</file>