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威海市人力资源和社会保障局</w: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威海市财政局</w: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关于在驻威高校建立大学生就业创业服务指导站的意见</w:t>
      </w:r>
    </w:p>
    <w:p>
      <w:pPr>
        <w:rPr>
          <w:rFonts w:ascii="仿宋_GB2312" w:hAnsi="仿宋_GB2312" w:eastAsia="仿宋_GB2312" w:cs="仿宋_GB2312"/>
          <w:sz w:val="32"/>
          <w:szCs w:val="32"/>
        </w:rPr>
      </w:pPr>
      <w:bookmarkStart w:id="0" w:name="_GoBack"/>
      <w:bookmarkEnd w:id="0"/>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驻威各高校：</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为深入实施高校毕业生就业创业促进计划和基层成长计划，针对性地开展就业创业服务，促进以高校毕业生为重点的青年就业，根据山东省人民政府</w:t>
      </w:r>
      <w:r>
        <w:rPr>
          <w:rFonts w:hint="eastAsia" w:ascii="仿宋_GB2312" w:eastAsia="仿宋_GB2312"/>
          <w:sz w:val="32"/>
          <w:szCs w:val="32"/>
        </w:rPr>
        <w:t>《关于积极应对新冠肺炎疫情做好稳就业工作的若干措施》（鲁政发〔2020〕5号）</w:t>
      </w:r>
      <w:r>
        <w:rPr>
          <w:rFonts w:hint="eastAsia" w:ascii="仿宋_GB2312" w:hAnsi="仿宋_GB2312" w:eastAsia="仿宋_GB2312" w:cs="仿宋_GB2312"/>
          <w:sz w:val="32"/>
          <w:szCs w:val="32"/>
        </w:rPr>
        <w:t>、中共山东省委组织部、山东省人力资源和社会保障厅等 13部门《关于做好2020年高校毕业生就业工作的通知》（鲁人社字</w:t>
      </w:r>
      <w:r>
        <w:rPr>
          <w:rFonts w:hint="eastAsia" w:ascii="仿宋_GB2312" w:eastAsia="仿宋_GB2312"/>
          <w:sz w:val="32"/>
          <w:szCs w:val="32"/>
        </w:rPr>
        <w:t>〔2020〕</w:t>
      </w:r>
      <w:r>
        <w:rPr>
          <w:rFonts w:hint="eastAsia" w:ascii="仿宋_GB2312" w:hAnsi="仿宋_GB2312" w:eastAsia="仿宋_GB2312" w:cs="仿宋_GB2312"/>
          <w:sz w:val="32"/>
          <w:szCs w:val="32"/>
        </w:rPr>
        <w:t>43号）等有关规定，现就驻威高校建立大学生就业创业服务指导站有关事项通知如下：</w:t>
      </w:r>
    </w:p>
    <w:p>
      <w:pPr>
        <w:ind w:firstLine="640"/>
        <w:rPr>
          <w:rFonts w:ascii="黑体" w:hAnsi="黑体" w:eastAsia="黑体" w:cs="黑体"/>
          <w:sz w:val="32"/>
          <w:szCs w:val="32"/>
        </w:rPr>
      </w:pPr>
      <w:r>
        <w:rPr>
          <w:rFonts w:hint="eastAsia" w:ascii="黑体" w:hAnsi="黑体" w:eastAsia="黑体" w:cs="黑体"/>
          <w:sz w:val="32"/>
          <w:szCs w:val="32"/>
        </w:rPr>
        <w:t>一、指导思想</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以提升大学生就业创业理念、拓展就业创业渠道、促进就业创业为目标，建立完善职业培训、实践锻炼、职业发展、管理服务全链条扶持措施，为驻威高校大学生提供政策咨询、就业创业指导、求职创业信息、就业创业培训等综合服务，有效促进驻威高校大学生留威就业创业。</w:t>
      </w:r>
    </w:p>
    <w:p>
      <w:pPr>
        <w:ind w:firstLine="640"/>
        <w:rPr>
          <w:rFonts w:ascii="黑体" w:hAnsi="黑体" w:eastAsia="黑体" w:cs="黑体"/>
          <w:sz w:val="32"/>
          <w:szCs w:val="32"/>
        </w:rPr>
      </w:pPr>
      <w:r>
        <w:rPr>
          <w:rFonts w:hint="eastAsia" w:ascii="黑体" w:hAnsi="黑体" w:eastAsia="黑体" w:cs="黑体"/>
          <w:sz w:val="32"/>
          <w:szCs w:val="32"/>
        </w:rPr>
        <w:t>二、工作目标</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进一步加强地方与高校联动，强化公共就业创业服务机构与高校合作，按照政府引导、高校自愿的原则，采取共建的模式，逐步在驻威高校建立大学生就业创业服务指导站，打造成大学生就业创业资源的集散地和大学生就业创业的加速器，更好地助力大学生就业创业。</w:t>
      </w:r>
    </w:p>
    <w:p>
      <w:pPr>
        <w:ind w:firstLine="640"/>
        <w:rPr>
          <w:rFonts w:ascii="黑体" w:hAnsi="黑体" w:eastAsia="黑体" w:cs="黑体"/>
          <w:sz w:val="32"/>
          <w:szCs w:val="32"/>
        </w:rPr>
      </w:pPr>
      <w:r>
        <w:rPr>
          <w:rFonts w:hint="eastAsia" w:ascii="黑体" w:hAnsi="黑体" w:eastAsia="黑体" w:cs="黑体"/>
          <w:sz w:val="32"/>
          <w:szCs w:val="32"/>
        </w:rPr>
        <w:t>三、建站标准</w:t>
      </w:r>
    </w:p>
    <w:p>
      <w:pPr>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（一）场地和设备。</w:t>
      </w:r>
      <w:r>
        <w:rPr>
          <w:rFonts w:hint="eastAsia" w:ascii="仿宋_GB2312" w:hAnsi="仿宋_GB2312" w:eastAsia="仿宋_GB2312" w:cs="仿宋_GB2312"/>
          <w:sz w:val="32"/>
          <w:szCs w:val="32"/>
        </w:rPr>
        <w:t>各高校指导站从实际出发，在校区内设置必要的工作、培训、招聘和就业创业服务等场地（其中固定场所应不小于20平方米），配备必要的计算机、网络等设备，并与人力资源社会保障等部门定期进行信息互通。</w:t>
      </w:r>
    </w:p>
    <w:p>
      <w:pPr>
        <w:pStyle w:val="4"/>
        <w:widowControl/>
        <w:shd w:val="clear" w:color="auto" w:fill="FFFFFF"/>
        <w:spacing w:beforeAutospacing="0" w:afterAutospacing="0"/>
        <w:rPr>
          <w:rFonts w:ascii="仿宋_GB2312" w:hAnsi="仿宋_GB2312" w:eastAsia="仿宋_GB2312" w:cs="仿宋_GB2312"/>
          <w:sz w:val="32"/>
          <w:szCs w:val="32"/>
        </w:rPr>
      </w:pPr>
      <w:r>
        <w:rPr>
          <w:rFonts w:hint="eastAsia" w:ascii="宋体" w:hAnsi="宋体" w:eastAsia="宋体" w:cs="宋体"/>
          <w:sz w:val="18"/>
          <w:szCs w:val="18"/>
          <w:shd w:val="clear" w:color="auto" w:fill="FFFFFF"/>
        </w:rPr>
        <w:t xml:space="preserve">　    </w:t>
      </w:r>
      <w:r>
        <w:rPr>
          <w:rFonts w:hint="eastAsia" w:ascii="楷体_GB2312" w:hAnsi="楷体_GB2312" w:eastAsia="楷体_GB2312" w:cs="楷体_GB2312"/>
          <w:kern w:val="2"/>
          <w:sz w:val="32"/>
          <w:szCs w:val="32"/>
        </w:rPr>
        <w:t>（二）人员配备。</w:t>
      </w:r>
      <w:r>
        <w:rPr>
          <w:rFonts w:hint="eastAsia" w:ascii="仿宋_GB2312" w:hAnsi="仿宋_GB2312" w:eastAsia="仿宋_GB2312" w:cs="仿宋_GB2312"/>
          <w:sz w:val="32"/>
          <w:szCs w:val="32"/>
        </w:rPr>
        <w:t>高校可根据在校生规模和就业创业工作需要，配备相应的就业创业指导和管理人员，指导站工作人员原则上不得少于3人，并明确1名专职联络员，负责与人力资源社会保障等部门对接工作。</w:t>
      </w:r>
    </w:p>
    <w:p>
      <w:pPr>
        <w:pStyle w:val="4"/>
        <w:widowControl/>
        <w:shd w:val="clear" w:color="auto" w:fill="FFFFFF"/>
        <w:spacing w:beforeAutospacing="0" w:afterAutospacing="0"/>
        <w:rPr>
          <w:rFonts w:ascii="仿宋_GB2312" w:hAnsi="仿宋_GB2312" w:eastAsia="仿宋_GB2312" w:cs="仿宋_GB2312"/>
          <w:sz w:val="32"/>
          <w:szCs w:val="32"/>
        </w:rPr>
      </w:pPr>
      <w:r>
        <w:rPr>
          <w:rFonts w:hint="eastAsia" w:ascii="宋体" w:hAnsi="宋体" w:eastAsia="宋体" w:cs="宋体"/>
          <w:sz w:val="18"/>
          <w:szCs w:val="18"/>
          <w:shd w:val="clear" w:color="auto" w:fill="FFFFFF"/>
        </w:rPr>
        <w:t xml:space="preserve">　  </w:t>
      </w:r>
      <w:r>
        <w:rPr>
          <w:rFonts w:hint="eastAsia" w:ascii="楷体_GB2312" w:hAnsi="楷体_GB2312" w:eastAsia="楷体_GB2312" w:cs="楷体_GB2312"/>
          <w:kern w:val="2"/>
          <w:sz w:val="32"/>
          <w:szCs w:val="32"/>
        </w:rPr>
        <w:t xml:space="preserve">  （三）工作制度。</w:t>
      </w:r>
      <w:r>
        <w:rPr>
          <w:rFonts w:hint="eastAsia" w:ascii="仿宋_GB2312" w:hAnsi="仿宋_GB2312" w:eastAsia="仿宋_GB2312" w:cs="仿宋_GB2312"/>
          <w:sz w:val="32"/>
          <w:szCs w:val="32"/>
        </w:rPr>
        <w:t>指导站应根据当地政府和行业主管部门的要求，建立健全就业创业指导、培训、服务；就业见习、招聘会组织等工作制度。</w:t>
      </w:r>
    </w:p>
    <w:p>
      <w:pPr>
        <w:ind w:firstLine="640"/>
        <w:rPr>
          <w:rFonts w:ascii="黑体" w:hAnsi="黑体" w:eastAsia="黑体" w:cs="黑体"/>
          <w:sz w:val="32"/>
          <w:szCs w:val="32"/>
        </w:rPr>
      </w:pPr>
      <w:r>
        <w:rPr>
          <w:rFonts w:hint="eastAsia" w:ascii="黑体" w:hAnsi="黑体" w:eastAsia="黑体" w:cs="黑体"/>
          <w:sz w:val="32"/>
          <w:szCs w:val="32"/>
        </w:rPr>
        <w:t>四、指导站工作职责</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大学生就业创业服务指导站按照国家、省、市有关部署和要求开展大学生就业创业指导的同时，结合我市实际重点做好协助、配合做好以下几方面工作：</w:t>
      </w:r>
    </w:p>
    <w:p>
      <w:pPr>
        <w:numPr>
          <w:ilvl w:val="0"/>
          <w:numId w:val="1"/>
        </w:num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通过校园网络、公众号等方式发布我市高校毕业生就业创业政策及我市组织的毕业生就业创业活动宣传信息。</w:t>
      </w:r>
    </w:p>
    <w:p>
      <w:pPr>
        <w:numPr>
          <w:ilvl w:val="0"/>
          <w:numId w:val="1"/>
        </w:num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参加并配合我市有关部门组织的各类政策宣讲、就业创业指导讲座和校园推介、宣传活动。</w:t>
      </w:r>
    </w:p>
    <w:p>
      <w:pPr>
        <w:numPr>
          <w:ilvl w:val="0"/>
          <w:numId w:val="1"/>
        </w:num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加强与我市企业的合作对接，建立完善学生实习基地，积极组织毕业生到我市企业实习，引导在校生关注并注册使用“威海市就业服务平台”，争取更多毕业生留威就业。主动开展各类规模的校园招聘活动；积极组织毕业生参加各级公共服务机构举办的线上线下招聘活动，做好招聘岗位信息对接服务。</w:t>
      </w:r>
    </w:p>
    <w:p>
      <w:pPr>
        <w:numPr>
          <w:ilvl w:val="0"/>
          <w:numId w:val="1"/>
        </w:num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通过校园网络、公众号等方式配合做好就业见习、开展就业创业指导咨询，指导大学生按规定享受我市的就业创业服务政策，协助做好大学生创业大赛等活动的赛前宣传、参赛组织指导等环节工作，对在校大学生参与的创业培训、创业大赛、创业补贴等政策性服务，配合出具相关的证明认定材料。</w:t>
      </w:r>
    </w:p>
    <w:p>
      <w:pPr>
        <w:numPr>
          <w:ilvl w:val="0"/>
          <w:numId w:val="1"/>
        </w:num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配合有关部门做好毕业生生源、学历、专业和就业创业等情况统计、分析和就业创业调查问卷,定期向有关部门报送大学生就业创业活动开展情况，提出工作意见和建议。</w:t>
      </w:r>
    </w:p>
    <w:p>
      <w:pPr>
        <w:numPr>
          <w:ilvl w:val="0"/>
          <w:numId w:val="1"/>
        </w:num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根据工作需要开展的其他工作。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 xml:space="preserve"> 五、认定、考核及资金拨付程序</w:t>
      </w:r>
    </w:p>
    <w:p>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（一）申报。</w:t>
      </w:r>
      <w:r>
        <w:rPr>
          <w:rFonts w:hint="eastAsia" w:ascii="仿宋_GB2312" w:hAnsi="仿宋_GB2312" w:eastAsia="仿宋_GB2312" w:cs="仿宋_GB2312"/>
          <w:sz w:val="32"/>
          <w:szCs w:val="32"/>
        </w:rPr>
        <w:t>驻威高校根据实际和建站标准，填写《威海市大学生就业创业服务指导站建站申请表》（附件1）和本校、本部门基本情况介绍，于2020年6月底前向市人力资源社会保障局提出建站申请。</w:t>
      </w:r>
    </w:p>
    <w:p>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（二）认定</w:t>
      </w:r>
      <w:r>
        <w:rPr>
          <w:rFonts w:hint="eastAsia" w:ascii="仿宋_GB2312" w:hAnsi="仿宋_GB2312" w:eastAsia="仿宋_GB2312" w:cs="仿宋_GB2312"/>
          <w:sz w:val="32"/>
          <w:szCs w:val="32"/>
        </w:rPr>
        <w:t>。市人力资源社会保障局组织有关部门和专家进行评估验收，对符合规定要求的，进行公布和授牌。</w:t>
      </w:r>
    </w:p>
    <w:p>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（三）评估考核</w:t>
      </w:r>
      <w:r>
        <w:rPr>
          <w:rFonts w:hint="eastAsia" w:ascii="仿宋_GB2312" w:hAnsi="仿宋_GB2312" w:eastAsia="仿宋_GB2312" w:cs="仿宋_GB2312"/>
          <w:sz w:val="32"/>
          <w:szCs w:val="32"/>
        </w:rPr>
        <w:t>。考核按年度以自查和考评相结合的方式进行。每年11月底前，设站的驻威高校对指导站年度工作开展情况进行自查和总结，向市人力资源社会保障局提交《威海市大学生就业服务指导站绩效评价表》（附件2），证明材料和年度总结报告。市人力资源社会保障局会同有关部门对指导站工作开展情况进行考核打分并将考核结果在市人社局官方网站公示，考核满分100分，对考核成绩优秀的（80分及以上）给予奖励，对考核成绩合格的（70分及以上）给予帮助指导，对考核成绩不合格的（70分及以下），取消指导站称号。</w:t>
      </w:r>
    </w:p>
    <w:p>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（四）资金奖补标准。</w:t>
      </w:r>
      <w:r>
        <w:rPr>
          <w:rFonts w:hint="eastAsia" w:ascii="仿宋_GB2312" w:hAnsi="仿宋_GB2312" w:eastAsia="仿宋_GB2312" w:cs="仿宋_GB2312"/>
          <w:sz w:val="32"/>
          <w:szCs w:val="32"/>
        </w:rPr>
        <w:t>按照考核结果给予绩效奖补，考核指标得分96-100分的每年给予7万元的绩效奖补，考核指标得分91-95分的每年给予5万元绩效奖补，考核指标得分80-90分的每年给予4万元绩效奖补。</w:t>
      </w:r>
    </w:p>
    <w:p>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（五）资金申请。</w:t>
      </w:r>
      <w:r>
        <w:rPr>
          <w:rFonts w:hint="eastAsia" w:ascii="仿宋_GB2312" w:hAnsi="仿宋_GB2312" w:eastAsia="仿宋_GB2312" w:cs="仿宋_GB2312"/>
          <w:sz w:val="32"/>
          <w:szCs w:val="32"/>
        </w:rPr>
        <w:t>设站的驻威高校在评估结果公布后向市人力资源和社会保障局提交《威海市大学生就业服务指导站奖补资金申请表》(附件3)，申请指导站奖补资金。</w:t>
      </w:r>
    </w:p>
    <w:p>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（六）资金拨付。</w:t>
      </w:r>
      <w:r>
        <w:rPr>
          <w:rFonts w:hint="eastAsia" w:ascii="仿宋_GB2312" w:hAnsi="仿宋_GB2312" w:eastAsia="仿宋_GB2312" w:cs="仿宋_GB2312"/>
          <w:sz w:val="32"/>
          <w:szCs w:val="32"/>
        </w:rPr>
        <w:t>绩效奖补所需资金从就业补助资金中安排。市人力资源和社会保障局根据评估结果，向市财政局申请奖补资金后按程序拨付至符合条件的驻威高校。</w:t>
      </w:r>
    </w:p>
    <w:p>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（七）资金用途。奖补</w:t>
      </w:r>
      <w:r>
        <w:rPr>
          <w:rFonts w:hint="eastAsia" w:ascii="仿宋_GB2312" w:hAnsi="仿宋_GB2312" w:eastAsia="仿宋_GB2312" w:cs="仿宋_GB2312"/>
          <w:sz w:val="32"/>
          <w:szCs w:val="32"/>
        </w:rPr>
        <w:t>资金主要用于为大学生提供就业创业服务、开展就业创业活动。不得用于人员经费和基本建设支出。</w:t>
      </w:r>
    </w:p>
    <w:p>
      <w:pPr>
        <w:ind w:firstLine="640"/>
        <w:rPr>
          <w:rFonts w:ascii="黑体" w:hAnsi="黑体" w:eastAsia="黑体" w:cs="黑体"/>
          <w:sz w:val="32"/>
          <w:szCs w:val="32"/>
        </w:rPr>
      </w:pPr>
      <w:r>
        <w:rPr>
          <w:rFonts w:hint="eastAsia" w:ascii="黑体" w:hAnsi="黑体" w:eastAsia="黑体" w:cs="黑体"/>
          <w:sz w:val="32"/>
          <w:szCs w:val="32"/>
        </w:rPr>
        <w:t>六、工作要求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（一）各高校要加强指导站的领导和管理，建立检查和指导制度，及时分析情况，协调解决问题，确保指导站正常运行，充分发挥指导站在大学生就业创业工作中的积极作用。</w:t>
      </w:r>
    </w:p>
    <w:p>
      <w:pPr>
        <w:pStyle w:val="4"/>
        <w:widowControl/>
        <w:numPr>
          <w:ilvl w:val="0"/>
          <w:numId w:val="2"/>
        </w:numPr>
        <w:shd w:val="clear" w:color="auto" w:fill="FFFFFF"/>
        <w:spacing w:before="130" w:beforeAutospacing="0" w:after="130" w:afterAutospacing="0"/>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指导站要定期开展调查统计工作，及时掌握大学生的实习、培训、就业创业等情况，帮助有关部门和高校有针对性地为大学生提供服务，促进大学生就业创业。</w:t>
      </w:r>
    </w:p>
    <w:p>
      <w:pPr>
        <w:pStyle w:val="4"/>
        <w:widowControl/>
        <w:shd w:val="clear" w:color="auto" w:fill="FFFFFF"/>
        <w:spacing w:before="130" w:beforeAutospacing="0" w:after="130" w:afterAutospacing="0"/>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sz w:val="32"/>
          <w:szCs w:val="32"/>
        </w:rPr>
        <w:t>（三）人力资源和社会保障、财政部门会同有关部门积极支持指导站的建设和日常工作，</w:t>
      </w:r>
      <w:r>
        <w:rPr>
          <w:rFonts w:hint="eastAsia" w:ascii="仿宋_GB2312" w:hAnsi="仿宋_GB2312" w:eastAsia="仿宋_GB2312" w:cs="仿宋_GB2312"/>
          <w:kern w:val="2"/>
          <w:sz w:val="32"/>
          <w:szCs w:val="32"/>
        </w:rPr>
        <w:t>指定具体的工作部门负责联系指导站各项工作，会同指导站定期开展各类就业创业活动和服务，</w:t>
      </w:r>
      <w:r>
        <w:rPr>
          <w:rFonts w:hint="eastAsia" w:ascii="仿宋_GB2312" w:hAnsi="仿宋_GB2312" w:eastAsia="仿宋_GB2312" w:cs="仿宋_GB2312"/>
          <w:sz w:val="32"/>
          <w:szCs w:val="32"/>
        </w:rPr>
        <w:t>定期对指导站进行考核。</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本意见有效期至2024年12月31日</w:t>
      </w:r>
    </w:p>
    <w:p>
      <w:pPr>
        <w:ind w:firstLine="640"/>
        <w:rPr>
          <w:rFonts w:ascii="仿宋_GB2312" w:hAnsi="仿宋_GB2312" w:eastAsia="仿宋_GB2312" w:cs="仿宋_GB2312"/>
          <w:sz w:val="32"/>
          <w:szCs w:val="32"/>
        </w:rPr>
      </w:pP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附件：1.《威海市大学生就业服务指导站建站申请表》</w:t>
      </w:r>
    </w:p>
    <w:p>
      <w:pPr>
        <w:ind w:left="1600"/>
        <w:rPr>
          <w:rFonts w:ascii="仿宋_GB2312" w:hAnsi="仿宋_GB2312" w:eastAsia="仿宋_GB2312" w:cs="仿宋_GB2312"/>
          <w:sz w:val="32"/>
          <w:szCs w:val="32"/>
        </w:rPr>
      </w:pPr>
      <w:r>
        <w:rPr>
          <w:rFonts w:hint="eastAsia" w:ascii="仿宋_GB2312" w:hAnsi="仿宋_GB2312" w:eastAsia="仿宋_GB2312" w:cs="仿宋_GB2312"/>
          <w:sz w:val="32"/>
          <w:szCs w:val="32"/>
        </w:rPr>
        <w:t>2.《威海市大学生就业服务指导站绩效评价表》</w:t>
      </w:r>
    </w:p>
    <w:p>
      <w:pPr>
        <w:ind w:left="1600"/>
        <w:rPr>
          <w:rFonts w:ascii="仿宋_GB2312" w:hAnsi="仿宋_GB2312" w:eastAsia="仿宋_GB2312" w:cs="仿宋_GB2312"/>
          <w:sz w:val="32"/>
          <w:szCs w:val="32"/>
        </w:rPr>
      </w:pPr>
      <w:r>
        <w:rPr>
          <w:rFonts w:hint="eastAsia" w:ascii="仿宋_GB2312" w:hAnsi="仿宋_GB2312" w:eastAsia="仿宋_GB2312" w:cs="仿宋_GB2312"/>
          <w:sz w:val="32"/>
          <w:szCs w:val="32"/>
        </w:rPr>
        <w:t>3.《威海市大学生就业服务指导站奖补资金申请表》</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wordWrap w:val="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2020年5月20日    </w:t>
      </w:r>
    </w:p>
    <w:p>
      <w:pPr>
        <w:jc w:val="right"/>
        <w:rPr>
          <w:rFonts w:ascii="仿宋_GB2312" w:hAnsi="仿宋_GB2312" w:eastAsia="仿宋_GB2312" w:cs="仿宋_GB2312"/>
          <w:sz w:val="32"/>
          <w:szCs w:val="32"/>
        </w:rPr>
        <w:sectPr>
          <w:footerReference r:id="rId3" w:type="default"/>
          <w:pgSz w:w="11906" w:h="16838"/>
          <w:pgMar w:top="2098" w:right="1474" w:bottom="1985" w:left="1588" w:header="851" w:footer="992" w:gutter="0"/>
          <w:cols w:space="425" w:num="1"/>
          <w:docGrid w:type="lines" w:linePitch="312" w:charSpace="0"/>
        </w:sectPr>
      </w:pPr>
    </w:p>
    <w:p>
      <w:pPr>
        <w:jc w:val="left"/>
        <w:rPr>
          <w:rFonts w:ascii="黑体" w:hAnsi="黑体" w:eastAsia="黑体" w:cs="黑体"/>
          <w:sz w:val="32"/>
          <w:szCs w:val="32"/>
        </w:rPr>
      </w:pPr>
      <w:r>
        <w:rPr>
          <w:rFonts w:hint="eastAsia" w:ascii="黑体" w:hAnsi="黑体" w:eastAsia="黑体" w:cs="黑体"/>
          <w:sz w:val="32"/>
          <w:szCs w:val="32"/>
        </w:rPr>
        <w:t>附件1</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威海市大学生就业创业服务指导站建站申请表</w:t>
      </w:r>
    </w:p>
    <w:tbl>
      <w:tblPr>
        <w:tblStyle w:val="6"/>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1683"/>
        <w:gridCol w:w="2123"/>
        <w:gridCol w:w="1818"/>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320" w:type="dxa"/>
            <w:gridSpan w:val="5"/>
            <w:vAlign w:val="center"/>
          </w:tcPr>
          <w:p>
            <w:pPr>
              <w:jc w:val="center"/>
              <w:rPr>
                <w:rFonts w:ascii="仿宋_GB2312" w:hAnsi="仿宋_GB2312" w:eastAsia="仿宋_GB2312" w:cs="仿宋_GB2312"/>
                <w:sz w:val="32"/>
                <w:szCs w:val="32"/>
              </w:rPr>
            </w:pPr>
            <w:r>
              <w:rPr>
                <w:rFonts w:hint="eastAsia" w:ascii="黑体" w:hAnsi="黑体" w:eastAsia="黑体" w:cs="黑体"/>
                <w:sz w:val="32"/>
                <w:szCs w:val="32"/>
              </w:rPr>
              <w:t>申报高校基本情况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7276" w:type="dxa"/>
            <w:gridSpan w:val="4"/>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地址</w:t>
            </w:r>
          </w:p>
        </w:tc>
        <w:tc>
          <w:tcPr>
            <w:tcW w:w="7276" w:type="dxa"/>
            <w:gridSpan w:val="4"/>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在校生规模</w:t>
            </w:r>
          </w:p>
        </w:tc>
        <w:tc>
          <w:tcPr>
            <w:tcW w:w="7276" w:type="dxa"/>
            <w:gridSpan w:val="4"/>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0"/>
                <w:szCs w:val="30"/>
              </w:rPr>
              <w:t>在校生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人，应届毕业生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320" w:type="dxa"/>
            <w:gridSpan w:val="5"/>
            <w:vAlign w:val="center"/>
          </w:tcPr>
          <w:p>
            <w:pPr>
              <w:jc w:val="center"/>
              <w:rPr>
                <w:rFonts w:ascii="仿宋_GB2312" w:hAnsi="仿宋_GB2312" w:eastAsia="仿宋_GB2312" w:cs="仿宋_GB2312"/>
                <w:sz w:val="32"/>
                <w:szCs w:val="32"/>
              </w:rPr>
            </w:pPr>
            <w:r>
              <w:rPr>
                <w:rFonts w:hint="eastAsia" w:ascii="黑体" w:hAnsi="黑体" w:eastAsia="黑体" w:cs="黑体"/>
                <w:sz w:val="32"/>
                <w:szCs w:val="32"/>
              </w:rPr>
              <w:t>拟建大学生就业服务指导站基本情况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指导站地址</w:t>
            </w:r>
          </w:p>
        </w:tc>
        <w:tc>
          <w:tcPr>
            <w:tcW w:w="7276" w:type="dxa"/>
            <w:gridSpan w:val="4"/>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校区</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楼</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房间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2044"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场地情况</w:t>
            </w:r>
          </w:p>
        </w:tc>
        <w:tc>
          <w:tcPr>
            <w:tcW w:w="7276" w:type="dxa"/>
            <w:gridSpan w:val="4"/>
            <w:vAlign w:val="center"/>
          </w:tcPr>
          <w:p>
            <w:pPr>
              <w:adjustRightInd w:val="0"/>
              <w:snapToGrid w:val="0"/>
              <w:jc w:val="left"/>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办公场所</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平方米，培训场地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个，共</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平方米，各类招聘活动场地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平方米，其他场地</w:t>
            </w:r>
            <w:r>
              <w:rPr>
                <w:rFonts w:hint="eastAsia" w:ascii="仿宋_GB2312" w:hAnsi="仿宋_GB2312" w:eastAsia="仿宋_GB2312" w:cs="仿宋_GB2312"/>
                <w:sz w:val="30"/>
                <w:szCs w:val="30"/>
                <w:u w:val="single"/>
              </w:rPr>
              <w:t xml:space="preserve">           </w:t>
            </w:r>
          </w:p>
          <w:p>
            <w:pPr>
              <w:adjustRightInd w:val="0"/>
              <w:snapToGrid w:val="0"/>
              <w:jc w:val="left"/>
              <w:rPr>
                <w:rFonts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人员配备</w:t>
            </w:r>
          </w:p>
        </w:tc>
        <w:tc>
          <w:tcPr>
            <w:tcW w:w="7276" w:type="dxa"/>
            <w:gridSpan w:val="4"/>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共</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人（其中专职人员</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人，兼职人员</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联络专员</w:t>
            </w:r>
          </w:p>
        </w:tc>
        <w:tc>
          <w:tcPr>
            <w:tcW w:w="1683" w:type="dxa"/>
            <w:vAlign w:val="center"/>
          </w:tcPr>
          <w:p>
            <w:pPr>
              <w:jc w:val="center"/>
              <w:rPr>
                <w:rFonts w:ascii="仿宋_GB2312" w:hAnsi="仿宋_GB2312" w:eastAsia="仿宋_GB2312" w:cs="仿宋_GB2312"/>
                <w:sz w:val="32"/>
                <w:szCs w:val="32"/>
              </w:rPr>
            </w:pPr>
          </w:p>
        </w:tc>
        <w:tc>
          <w:tcPr>
            <w:tcW w:w="2122"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w:t>
            </w:r>
          </w:p>
        </w:tc>
        <w:tc>
          <w:tcPr>
            <w:tcW w:w="3471" w:type="dxa"/>
            <w:gridSpan w:val="2"/>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指导站电话</w:t>
            </w:r>
          </w:p>
        </w:tc>
        <w:tc>
          <w:tcPr>
            <w:tcW w:w="1683" w:type="dxa"/>
            <w:vAlign w:val="center"/>
          </w:tcPr>
          <w:p>
            <w:pPr>
              <w:jc w:val="center"/>
              <w:rPr>
                <w:rFonts w:ascii="仿宋_GB2312" w:hAnsi="仿宋_GB2312" w:eastAsia="仿宋_GB2312" w:cs="仿宋_GB2312"/>
                <w:sz w:val="32"/>
                <w:szCs w:val="32"/>
              </w:rPr>
            </w:pPr>
          </w:p>
        </w:tc>
        <w:tc>
          <w:tcPr>
            <w:tcW w:w="2122"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电子邮箱</w:t>
            </w:r>
          </w:p>
        </w:tc>
        <w:tc>
          <w:tcPr>
            <w:tcW w:w="3471" w:type="dxa"/>
            <w:gridSpan w:val="2"/>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320" w:type="dxa"/>
            <w:gridSpan w:val="5"/>
            <w:vAlign w:val="center"/>
          </w:tcPr>
          <w:p>
            <w:pPr>
              <w:jc w:val="center"/>
              <w:rPr>
                <w:rFonts w:ascii="仿宋_GB2312" w:hAnsi="仿宋_GB2312" w:eastAsia="仿宋_GB2312" w:cs="仿宋_GB2312"/>
                <w:sz w:val="32"/>
                <w:szCs w:val="32"/>
              </w:rPr>
            </w:pPr>
            <w:r>
              <w:rPr>
                <w:rFonts w:hint="eastAsia" w:ascii="黑体" w:hAnsi="黑体" w:eastAsia="黑体" w:cs="黑体"/>
                <w:sz w:val="32"/>
                <w:szCs w:val="32"/>
              </w:rPr>
              <w:t>指导站工作人员基本情况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姓名</w:t>
            </w:r>
          </w:p>
        </w:tc>
        <w:tc>
          <w:tcPr>
            <w:tcW w:w="1683"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所在部门</w:t>
            </w:r>
          </w:p>
        </w:tc>
        <w:tc>
          <w:tcPr>
            <w:tcW w:w="2123"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职务（职称）</w:t>
            </w:r>
          </w:p>
        </w:tc>
        <w:tc>
          <w:tcPr>
            <w:tcW w:w="1818"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联系方式</w:t>
            </w:r>
          </w:p>
        </w:tc>
        <w:tc>
          <w:tcPr>
            <w:tcW w:w="1652" w:type="dxa"/>
            <w:vAlign w:val="center"/>
          </w:tcPr>
          <w:p>
            <w:pPr>
              <w:adjustRightInd w:val="0"/>
              <w:snapToGrid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任职</w:t>
            </w:r>
          </w:p>
          <w:p>
            <w:pPr>
              <w:adjustRightInd w:val="0"/>
              <w:snapToGrid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（专/兼）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p>
        </w:tc>
        <w:tc>
          <w:tcPr>
            <w:tcW w:w="1683" w:type="dxa"/>
            <w:vAlign w:val="center"/>
          </w:tcPr>
          <w:p>
            <w:pPr>
              <w:jc w:val="center"/>
              <w:rPr>
                <w:rFonts w:ascii="仿宋_GB2312" w:hAnsi="仿宋_GB2312" w:eastAsia="仿宋_GB2312" w:cs="仿宋_GB2312"/>
                <w:sz w:val="32"/>
                <w:szCs w:val="32"/>
              </w:rPr>
            </w:pPr>
          </w:p>
        </w:tc>
        <w:tc>
          <w:tcPr>
            <w:tcW w:w="2123" w:type="dxa"/>
            <w:vAlign w:val="center"/>
          </w:tcPr>
          <w:p>
            <w:pPr>
              <w:jc w:val="center"/>
              <w:rPr>
                <w:rFonts w:ascii="仿宋_GB2312" w:hAnsi="仿宋_GB2312" w:eastAsia="仿宋_GB2312" w:cs="仿宋_GB2312"/>
                <w:sz w:val="32"/>
                <w:szCs w:val="32"/>
              </w:rPr>
            </w:pPr>
          </w:p>
        </w:tc>
        <w:tc>
          <w:tcPr>
            <w:tcW w:w="1818" w:type="dxa"/>
            <w:vAlign w:val="center"/>
          </w:tcPr>
          <w:p>
            <w:pPr>
              <w:jc w:val="center"/>
              <w:rPr>
                <w:rFonts w:ascii="仿宋_GB2312" w:hAnsi="仿宋_GB2312" w:eastAsia="仿宋_GB2312" w:cs="仿宋_GB2312"/>
                <w:sz w:val="32"/>
                <w:szCs w:val="32"/>
              </w:rPr>
            </w:pPr>
          </w:p>
        </w:tc>
        <w:tc>
          <w:tcPr>
            <w:tcW w:w="1652" w:type="dxa"/>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p>
        </w:tc>
        <w:tc>
          <w:tcPr>
            <w:tcW w:w="1683" w:type="dxa"/>
            <w:vAlign w:val="center"/>
          </w:tcPr>
          <w:p>
            <w:pPr>
              <w:jc w:val="center"/>
              <w:rPr>
                <w:rFonts w:ascii="仿宋_GB2312" w:hAnsi="仿宋_GB2312" w:eastAsia="仿宋_GB2312" w:cs="仿宋_GB2312"/>
                <w:sz w:val="32"/>
                <w:szCs w:val="32"/>
              </w:rPr>
            </w:pPr>
          </w:p>
        </w:tc>
        <w:tc>
          <w:tcPr>
            <w:tcW w:w="2123" w:type="dxa"/>
            <w:vAlign w:val="center"/>
          </w:tcPr>
          <w:p>
            <w:pPr>
              <w:jc w:val="center"/>
              <w:rPr>
                <w:rFonts w:ascii="仿宋_GB2312" w:hAnsi="仿宋_GB2312" w:eastAsia="仿宋_GB2312" w:cs="仿宋_GB2312"/>
                <w:sz w:val="32"/>
                <w:szCs w:val="32"/>
              </w:rPr>
            </w:pPr>
          </w:p>
        </w:tc>
        <w:tc>
          <w:tcPr>
            <w:tcW w:w="1818" w:type="dxa"/>
            <w:vAlign w:val="center"/>
          </w:tcPr>
          <w:p>
            <w:pPr>
              <w:jc w:val="center"/>
              <w:rPr>
                <w:rFonts w:ascii="仿宋_GB2312" w:hAnsi="仿宋_GB2312" w:eastAsia="仿宋_GB2312" w:cs="仿宋_GB2312"/>
                <w:sz w:val="32"/>
                <w:szCs w:val="32"/>
              </w:rPr>
            </w:pPr>
          </w:p>
        </w:tc>
        <w:tc>
          <w:tcPr>
            <w:tcW w:w="1652" w:type="dxa"/>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p>
        </w:tc>
        <w:tc>
          <w:tcPr>
            <w:tcW w:w="1683" w:type="dxa"/>
            <w:vAlign w:val="center"/>
          </w:tcPr>
          <w:p>
            <w:pPr>
              <w:jc w:val="center"/>
              <w:rPr>
                <w:rFonts w:ascii="仿宋_GB2312" w:hAnsi="仿宋_GB2312" w:eastAsia="仿宋_GB2312" w:cs="仿宋_GB2312"/>
                <w:sz w:val="32"/>
                <w:szCs w:val="32"/>
              </w:rPr>
            </w:pPr>
          </w:p>
        </w:tc>
        <w:tc>
          <w:tcPr>
            <w:tcW w:w="2123" w:type="dxa"/>
            <w:vAlign w:val="center"/>
          </w:tcPr>
          <w:p>
            <w:pPr>
              <w:jc w:val="center"/>
              <w:rPr>
                <w:rFonts w:ascii="仿宋_GB2312" w:hAnsi="仿宋_GB2312" w:eastAsia="仿宋_GB2312" w:cs="仿宋_GB2312"/>
                <w:sz w:val="32"/>
                <w:szCs w:val="32"/>
              </w:rPr>
            </w:pPr>
          </w:p>
        </w:tc>
        <w:tc>
          <w:tcPr>
            <w:tcW w:w="1818" w:type="dxa"/>
            <w:vAlign w:val="center"/>
          </w:tcPr>
          <w:p>
            <w:pPr>
              <w:jc w:val="center"/>
              <w:rPr>
                <w:rFonts w:ascii="仿宋_GB2312" w:hAnsi="仿宋_GB2312" w:eastAsia="仿宋_GB2312" w:cs="仿宋_GB2312"/>
                <w:sz w:val="32"/>
                <w:szCs w:val="32"/>
              </w:rPr>
            </w:pPr>
          </w:p>
        </w:tc>
        <w:tc>
          <w:tcPr>
            <w:tcW w:w="1652" w:type="dxa"/>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044" w:type="dxa"/>
            <w:vAlign w:val="center"/>
          </w:tcPr>
          <w:p>
            <w:pPr>
              <w:jc w:val="center"/>
              <w:rPr>
                <w:rFonts w:ascii="仿宋_GB2312" w:hAnsi="仿宋_GB2312" w:eastAsia="仿宋_GB2312" w:cs="仿宋_GB2312"/>
                <w:sz w:val="32"/>
                <w:szCs w:val="32"/>
              </w:rPr>
            </w:pPr>
          </w:p>
        </w:tc>
        <w:tc>
          <w:tcPr>
            <w:tcW w:w="1683" w:type="dxa"/>
            <w:vAlign w:val="center"/>
          </w:tcPr>
          <w:p>
            <w:pPr>
              <w:jc w:val="center"/>
              <w:rPr>
                <w:rFonts w:ascii="仿宋_GB2312" w:hAnsi="仿宋_GB2312" w:eastAsia="仿宋_GB2312" w:cs="仿宋_GB2312"/>
                <w:sz w:val="32"/>
                <w:szCs w:val="32"/>
              </w:rPr>
            </w:pPr>
          </w:p>
        </w:tc>
        <w:tc>
          <w:tcPr>
            <w:tcW w:w="2123" w:type="dxa"/>
            <w:vAlign w:val="center"/>
          </w:tcPr>
          <w:p>
            <w:pPr>
              <w:jc w:val="center"/>
              <w:rPr>
                <w:rFonts w:ascii="仿宋_GB2312" w:hAnsi="仿宋_GB2312" w:eastAsia="仿宋_GB2312" w:cs="仿宋_GB2312"/>
                <w:sz w:val="32"/>
                <w:szCs w:val="32"/>
              </w:rPr>
            </w:pPr>
          </w:p>
        </w:tc>
        <w:tc>
          <w:tcPr>
            <w:tcW w:w="1818" w:type="dxa"/>
            <w:vAlign w:val="center"/>
          </w:tcPr>
          <w:p>
            <w:pPr>
              <w:jc w:val="center"/>
              <w:rPr>
                <w:rFonts w:ascii="仿宋_GB2312" w:hAnsi="仿宋_GB2312" w:eastAsia="仿宋_GB2312" w:cs="仿宋_GB2312"/>
                <w:sz w:val="32"/>
                <w:szCs w:val="32"/>
              </w:rPr>
            </w:pPr>
          </w:p>
        </w:tc>
        <w:tc>
          <w:tcPr>
            <w:tcW w:w="1652" w:type="dxa"/>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2044" w:type="dxa"/>
            <w:vAlign w:val="center"/>
          </w:tcPr>
          <w:p>
            <w:pPr>
              <w:jc w:val="center"/>
              <w:rPr>
                <w:rFonts w:ascii="仿宋_GB2312" w:hAnsi="仿宋_GB2312" w:eastAsia="仿宋_GB2312" w:cs="仿宋_GB2312"/>
                <w:sz w:val="32"/>
                <w:szCs w:val="32"/>
              </w:rPr>
            </w:pPr>
          </w:p>
        </w:tc>
        <w:tc>
          <w:tcPr>
            <w:tcW w:w="1683" w:type="dxa"/>
            <w:vAlign w:val="center"/>
          </w:tcPr>
          <w:p>
            <w:pPr>
              <w:jc w:val="center"/>
              <w:rPr>
                <w:rFonts w:ascii="仿宋_GB2312" w:hAnsi="仿宋_GB2312" w:eastAsia="仿宋_GB2312" w:cs="仿宋_GB2312"/>
                <w:sz w:val="32"/>
                <w:szCs w:val="32"/>
              </w:rPr>
            </w:pPr>
          </w:p>
        </w:tc>
        <w:tc>
          <w:tcPr>
            <w:tcW w:w="2123" w:type="dxa"/>
            <w:vAlign w:val="center"/>
          </w:tcPr>
          <w:p>
            <w:pPr>
              <w:jc w:val="center"/>
              <w:rPr>
                <w:rFonts w:ascii="仿宋_GB2312" w:hAnsi="仿宋_GB2312" w:eastAsia="仿宋_GB2312" w:cs="仿宋_GB2312"/>
                <w:sz w:val="32"/>
                <w:szCs w:val="32"/>
              </w:rPr>
            </w:pPr>
          </w:p>
        </w:tc>
        <w:tc>
          <w:tcPr>
            <w:tcW w:w="1818" w:type="dxa"/>
            <w:vAlign w:val="center"/>
          </w:tcPr>
          <w:p>
            <w:pPr>
              <w:jc w:val="center"/>
              <w:rPr>
                <w:rFonts w:ascii="仿宋_GB2312" w:hAnsi="仿宋_GB2312" w:eastAsia="仿宋_GB2312" w:cs="仿宋_GB2312"/>
                <w:sz w:val="32"/>
                <w:szCs w:val="32"/>
              </w:rPr>
            </w:pPr>
          </w:p>
        </w:tc>
        <w:tc>
          <w:tcPr>
            <w:tcW w:w="1652" w:type="dxa"/>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2" w:hRule="atLeast"/>
          <w:jc w:val="center"/>
        </w:trPr>
        <w:tc>
          <w:tcPr>
            <w:tcW w:w="9320" w:type="dxa"/>
            <w:gridSpan w:val="5"/>
          </w:tcPr>
          <w:p>
            <w:pPr>
              <w:jc w:val="center"/>
              <w:rPr>
                <w:rFonts w:ascii="楷体_GB2312" w:hAnsi="楷体_GB2312" w:eastAsia="楷体_GB2312" w:cs="楷体_GB2312"/>
                <w:b/>
                <w:bCs/>
                <w:sz w:val="32"/>
                <w:szCs w:val="32"/>
                <w:u w:val="single"/>
              </w:rPr>
            </w:pPr>
            <w:r>
              <w:rPr>
                <w:rFonts w:hint="eastAsia" w:ascii="楷体_GB2312" w:hAnsi="楷体_GB2312" w:eastAsia="楷体_GB2312" w:cs="楷体_GB2312"/>
                <w:b/>
                <w:bCs/>
                <w:sz w:val="32"/>
                <w:szCs w:val="32"/>
                <w:u w:val="single"/>
              </w:rPr>
              <w:t>指导站基本情况介绍</w:t>
            </w:r>
          </w:p>
          <w:p>
            <w:pPr>
              <w:adjustRightInd w:val="0"/>
              <w:snapToGrid w:val="0"/>
              <w:ind w:firstLine="600"/>
              <w:jc w:val="center"/>
              <w:rPr>
                <w:rFonts w:ascii="仿宋_GB2312" w:hAnsi="仿宋_GB2312" w:eastAsia="仿宋_GB2312" w:cs="仿宋_GB2312"/>
                <w:sz w:val="30"/>
                <w:szCs w:val="30"/>
              </w:rPr>
            </w:pPr>
          </w:p>
          <w:p>
            <w:pPr>
              <w:adjustRightInd w:val="0"/>
              <w:snapToGrid w:val="0"/>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主要包括学校大学生就业创业工作的基本情况及措施，指导站工作目标、相关制度、运作模式和预期效果等。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2044" w:type="dxa"/>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申报学校</w:t>
            </w:r>
          </w:p>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意  见</w:t>
            </w:r>
          </w:p>
        </w:tc>
        <w:tc>
          <w:tcPr>
            <w:tcW w:w="7276" w:type="dxa"/>
            <w:gridSpan w:val="4"/>
            <w:vAlign w:val="bottom"/>
          </w:tcPr>
          <w:p>
            <w:pPr>
              <w:wordWrap w:val="0"/>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（公章）    </w:t>
            </w:r>
          </w:p>
          <w:p>
            <w:pPr>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2044" w:type="dxa"/>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专家组</w:t>
            </w:r>
          </w:p>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验收意见</w:t>
            </w:r>
          </w:p>
        </w:tc>
        <w:tc>
          <w:tcPr>
            <w:tcW w:w="7276" w:type="dxa"/>
            <w:gridSpan w:val="4"/>
            <w:vAlign w:val="bottom"/>
          </w:tcPr>
          <w:p>
            <w:pPr>
              <w:wordWrap w:val="0"/>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签字：    </w:t>
            </w:r>
          </w:p>
          <w:p>
            <w:pPr>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2044" w:type="dxa"/>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市人力资源社会保障局</w:t>
            </w:r>
          </w:p>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意见</w:t>
            </w:r>
          </w:p>
        </w:tc>
        <w:tc>
          <w:tcPr>
            <w:tcW w:w="7276" w:type="dxa"/>
            <w:gridSpan w:val="4"/>
            <w:vAlign w:val="bottom"/>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（公章）</w:t>
            </w:r>
          </w:p>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tc>
      </w:tr>
    </w:tbl>
    <w:p>
      <w:pPr>
        <w:jc w:val="left"/>
        <w:rPr>
          <w:rFonts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pPr>
        <w:jc w:val="left"/>
        <w:rPr>
          <w:rFonts w:ascii="黑体" w:hAnsi="黑体" w:eastAsia="黑体" w:cs="黑体"/>
          <w:sz w:val="32"/>
          <w:szCs w:val="32"/>
        </w:rPr>
      </w:pPr>
      <w:r>
        <w:rPr>
          <w:rFonts w:hint="eastAsia" w:ascii="黑体" w:hAnsi="黑体" w:eastAsia="黑体" w:cs="黑体"/>
          <w:sz w:val="32"/>
          <w:szCs w:val="32"/>
        </w:rPr>
        <w:t>附件2</w:t>
      </w:r>
    </w:p>
    <w:p>
      <w:pPr>
        <w:adjustRightInd w:val="0"/>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威海市大学生就业服务指导站绩效评价表（ ___年度）</w:t>
      </w:r>
    </w:p>
    <w:p>
      <w:pPr>
        <w:adjustRightInd w:val="0"/>
        <w:snapToGrid w:val="0"/>
        <w:rPr>
          <w:rFonts w:ascii="方正小标宋简体" w:hAnsi="方正小标宋简体" w:eastAsia="方正小标宋简体" w:cs="方正小标宋简体"/>
          <w:szCs w:val="21"/>
        </w:rPr>
      </w:pPr>
      <w:r>
        <w:rPr>
          <w:rFonts w:hint="eastAsia" w:ascii="方正小标宋简体" w:hAnsi="方正小标宋简体" w:eastAsia="方正小标宋简体" w:cs="方正小标宋简体"/>
          <w:szCs w:val="21"/>
        </w:rPr>
        <w:t>学校名称：</w:t>
      </w: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972"/>
        <w:gridCol w:w="709"/>
        <w:gridCol w:w="3150"/>
        <w:gridCol w:w="4493"/>
        <w:gridCol w:w="3082"/>
        <w:gridCol w:w="632"/>
        <w:gridCol w:w="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04" w:type="dxa"/>
            <w:vAlign w:val="center"/>
          </w:tcPr>
          <w:p>
            <w:pPr>
              <w:adjustRightInd w:val="0"/>
              <w:snapToGrid w:val="0"/>
              <w:jc w:val="center"/>
              <w:rPr>
                <w:rFonts w:ascii="黑体" w:hAnsi="黑体" w:eastAsia="黑体" w:cs="黑体"/>
                <w:sz w:val="24"/>
              </w:rPr>
            </w:pPr>
            <w:r>
              <w:rPr>
                <w:rFonts w:hint="eastAsia" w:ascii="黑体" w:hAnsi="黑体" w:eastAsia="黑体" w:cs="黑体"/>
                <w:sz w:val="24"/>
              </w:rPr>
              <w:t>序号</w:t>
            </w:r>
          </w:p>
        </w:tc>
        <w:tc>
          <w:tcPr>
            <w:tcW w:w="1681" w:type="dxa"/>
            <w:gridSpan w:val="2"/>
            <w:vAlign w:val="center"/>
          </w:tcPr>
          <w:p>
            <w:pPr>
              <w:jc w:val="center"/>
              <w:rPr>
                <w:rFonts w:ascii="黑体" w:hAnsi="黑体" w:eastAsia="黑体" w:cs="黑体"/>
                <w:sz w:val="24"/>
              </w:rPr>
            </w:pPr>
            <w:r>
              <w:rPr>
                <w:rFonts w:hint="eastAsia" w:ascii="黑体" w:hAnsi="黑体" w:eastAsia="黑体" w:cs="黑体"/>
                <w:sz w:val="24"/>
              </w:rPr>
              <w:t>评估指标</w:t>
            </w:r>
          </w:p>
        </w:tc>
        <w:tc>
          <w:tcPr>
            <w:tcW w:w="3150" w:type="dxa"/>
            <w:vAlign w:val="center"/>
          </w:tcPr>
          <w:p>
            <w:pPr>
              <w:jc w:val="center"/>
              <w:rPr>
                <w:rFonts w:ascii="黑体" w:hAnsi="黑体" w:eastAsia="黑体" w:cs="黑体"/>
                <w:sz w:val="24"/>
              </w:rPr>
            </w:pPr>
            <w:r>
              <w:rPr>
                <w:rFonts w:hint="eastAsia" w:ascii="黑体" w:hAnsi="黑体" w:eastAsia="黑体" w:cs="黑体"/>
                <w:sz w:val="24"/>
              </w:rPr>
              <w:t>指标内容</w:t>
            </w:r>
          </w:p>
        </w:tc>
        <w:tc>
          <w:tcPr>
            <w:tcW w:w="4493" w:type="dxa"/>
            <w:vAlign w:val="center"/>
          </w:tcPr>
          <w:p>
            <w:pPr>
              <w:jc w:val="center"/>
              <w:rPr>
                <w:rFonts w:ascii="黑体" w:hAnsi="黑体" w:eastAsia="黑体" w:cs="黑体"/>
                <w:sz w:val="24"/>
              </w:rPr>
            </w:pPr>
            <w:r>
              <w:rPr>
                <w:rFonts w:hint="eastAsia" w:ascii="黑体" w:hAnsi="黑体" w:eastAsia="黑体" w:cs="黑体"/>
                <w:sz w:val="24"/>
              </w:rPr>
              <w:t>评分标准</w:t>
            </w:r>
          </w:p>
        </w:tc>
        <w:tc>
          <w:tcPr>
            <w:tcW w:w="3082" w:type="dxa"/>
            <w:vAlign w:val="center"/>
          </w:tcPr>
          <w:p>
            <w:pPr>
              <w:jc w:val="center"/>
              <w:rPr>
                <w:rFonts w:ascii="黑体" w:hAnsi="黑体" w:eastAsia="黑体" w:cs="黑体"/>
                <w:sz w:val="24"/>
              </w:rPr>
            </w:pPr>
            <w:r>
              <w:rPr>
                <w:rFonts w:hint="eastAsia" w:ascii="黑体" w:hAnsi="黑体" w:eastAsia="黑体" w:cs="黑体"/>
                <w:sz w:val="24"/>
              </w:rPr>
              <w:t>评估要求及提报材料</w:t>
            </w:r>
          </w:p>
        </w:tc>
        <w:tc>
          <w:tcPr>
            <w:tcW w:w="632" w:type="dxa"/>
            <w:vAlign w:val="center"/>
          </w:tcPr>
          <w:p>
            <w:pPr>
              <w:jc w:val="center"/>
              <w:rPr>
                <w:rFonts w:ascii="黑体" w:hAnsi="黑体" w:eastAsia="黑体" w:cs="黑体"/>
                <w:szCs w:val="21"/>
              </w:rPr>
            </w:pPr>
            <w:r>
              <w:rPr>
                <w:rFonts w:hint="eastAsia" w:ascii="黑体" w:hAnsi="黑体" w:eastAsia="黑体" w:cs="黑体"/>
                <w:szCs w:val="21"/>
              </w:rPr>
              <w:t>指标得分</w:t>
            </w:r>
          </w:p>
        </w:tc>
        <w:tc>
          <w:tcPr>
            <w:tcW w:w="632" w:type="dxa"/>
            <w:vAlign w:val="center"/>
          </w:tcPr>
          <w:p>
            <w:pPr>
              <w:jc w:val="center"/>
              <w:rPr>
                <w:rFonts w:ascii="黑体" w:hAnsi="黑体" w:eastAsia="黑体" w:cs="黑体"/>
                <w:szCs w:val="21"/>
              </w:rPr>
            </w:pPr>
            <w:r>
              <w:rPr>
                <w:rFonts w:hint="eastAsia" w:ascii="黑体" w:hAnsi="黑体" w:eastAsia="黑体" w:cs="黑体"/>
                <w:szCs w:val="21"/>
              </w:rPr>
              <w:t>最终总分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7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基础</w:t>
            </w:r>
          </w:p>
          <w:p>
            <w:pPr>
              <w:jc w:val="center"/>
              <w:rPr>
                <w:rFonts w:ascii="仿宋_GB2312" w:hAnsi="仿宋_GB2312" w:eastAsia="仿宋_GB2312" w:cs="仿宋_GB2312"/>
                <w:szCs w:val="21"/>
              </w:rPr>
            </w:pPr>
            <w:r>
              <w:rPr>
                <w:rFonts w:hint="eastAsia" w:ascii="仿宋_GB2312" w:hAnsi="仿宋_GB2312" w:eastAsia="仿宋_GB2312" w:cs="仿宋_GB2312"/>
                <w:szCs w:val="21"/>
              </w:rPr>
              <w:t>管理</w:t>
            </w:r>
          </w:p>
          <w:p>
            <w:pPr>
              <w:jc w:val="center"/>
              <w:rPr>
                <w:rFonts w:ascii="仿宋_GB2312" w:hAnsi="仿宋_GB2312" w:eastAsia="仿宋_GB2312" w:cs="仿宋_GB2312"/>
                <w:szCs w:val="21"/>
              </w:rPr>
            </w:pPr>
            <w:r>
              <w:rPr>
                <w:rFonts w:hint="eastAsia" w:ascii="仿宋_GB2312" w:hAnsi="仿宋_GB2312" w:eastAsia="仿宋_GB2312" w:cs="仿宋_GB2312"/>
                <w:szCs w:val="21"/>
              </w:rPr>
              <w:t>工作</w:t>
            </w:r>
          </w:p>
          <w:p>
            <w:pPr>
              <w:rPr>
                <w:rFonts w:ascii="仿宋_GB2312" w:hAnsi="仿宋_GB2312" w:eastAsia="仿宋_GB2312" w:cs="仿宋_GB2312"/>
                <w:szCs w:val="21"/>
              </w:rPr>
            </w:pPr>
          </w:p>
          <w:p>
            <w:pPr>
              <w:rPr>
                <w:rFonts w:ascii="仿宋_GB2312" w:hAnsi="仿宋_GB2312" w:eastAsia="仿宋_GB2312" w:cs="仿宋_GB2312"/>
                <w:szCs w:val="21"/>
              </w:rPr>
            </w:pPr>
          </w:p>
          <w:p>
            <w:pPr>
              <w:rPr>
                <w:rFonts w:ascii="仿宋_GB2312" w:hAnsi="仿宋_GB2312" w:eastAsia="仿宋_GB2312" w:cs="仿宋_GB2312"/>
                <w:szCs w:val="21"/>
              </w:rPr>
            </w:pPr>
            <w:r>
              <w:rPr>
                <w:rFonts w:hint="eastAsia" w:ascii="仿宋_GB2312" w:hAnsi="仿宋_GB2312" w:eastAsia="仿宋_GB2312" w:cs="仿宋_GB2312"/>
                <w:szCs w:val="21"/>
              </w:rPr>
              <w:t>(权重20%）</w:t>
            </w:r>
          </w:p>
        </w:tc>
        <w:tc>
          <w:tcPr>
            <w:tcW w:w="709"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硬件设施</w:t>
            </w: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20平方以上室内固定办公场所</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符合条件（10分）</w:t>
            </w:r>
          </w:p>
        </w:tc>
        <w:tc>
          <w:tcPr>
            <w:tcW w:w="30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办公场所需长期且固定</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容纳50人以上的室内培训场地</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符合条件（10分）</w:t>
            </w:r>
          </w:p>
        </w:tc>
        <w:tc>
          <w:tcPr>
            <w:tcW w:w="308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活动需要时可使用</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有可举办招聘会的活动场地</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符合条件（10分）</w:t>
            </w:r>
          </w:p>
        </w:tc>
        <w:tc>
          <w:tcPr>
            <w:tcW w:w="3082" w:type="dxa"/>
            <w:vMerge w:val="continue"/>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办公设备及活动配备</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符合条件（10分）</w:t>
            </w:r>
          </w:p>
        </w:tc>
        <w:tc>
          <w:tcPr>
            <w:tcW w:w="3082" w:type="dxa"/>
            <w:vMerge w:val="continue"/>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人员配置</w:t>
            </w: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工作人员不少于3人，有1名专职联络员。</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符合条件（15分）</w:t>
            </w:r>
          </w:p>
        </w:tc>
        <w:tc>
          <w:tcPr>
            <w:tcW w:w="30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提报工作人员基本信息，人员相对固定，保证能及时对接工作。</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管理制度</w:t>
            </w: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指导站工作制度和财务管理制度。</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符合条件（15分）</w:t>
            </w:r>
          </w:p>
        </w:tc>
        <w:tc>
          <w:tcPr>
            <w:tcW w:w="30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根据指导站需求及时完善</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全年工作计划</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符合条件（15分）</w:t>
            </w:r>
          </w:p>
        </w:tc>
        <w:tc>
          <w:tcPr>
            <w:tcW w:w="30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根据指导站需求定制</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基础台账</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符合条件（15分）</w:t>
            </w:r>
          </w:p>
        </w:tc>
        <w:tc>
          <w:tcPr>
            <w:tcW w:w="30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真实有效，条理清晰</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0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7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信息</w:t>
            </w:r>
          </w:p>
          <w:p>
            <w:pPr>
              <w:jc w:val="center"/>
              <w:rPr>
                <w:rFonts w:ascii="仿宋_GB2312" w:hAnsi="仿宋_GB2312" w:eastAsia="仿宋_GB2312" w:cs="仿宋_GB2312"/>
                <w:szCs w:val="21"/>
              </w:rPr>
            </w:pPr>
            <w:r>
              <w:rPr>
                <w:rFonts w:hint="eastAsia" w:ascii="仿宋_GB2312" w:hAnsi="仿宋_GB2312" w:eastAsia="仿宋_GB2312" w:cs="仿宋_GB2312"/>
                <w:szCs w:val="21"/>
              </w:rPr>
              <w:t>采集</w:t>
            </w:r>
          </w:p>
          <w:p>
            <w:pPr>
              <w:jc w:val="center"/>
              <w:rPr>
                <w:rFonts w:ascii="仿宋_GB2312" w:hAnsi="仿宋_GB2312" w:eastAsia="仿宋_GB2312" w:cs="仿宋_GB2312"/>
                <w:szCs w:val="21"/>
              </w:rPr>
            </w:pPr>
          </w:p>
          <w:p>
            <w:pPr>
              <w:jc w:val="center"/>
              <w:rPr>
                <w:rFonts w:ascii="仿宋_GB2312" w:hAnsi="仿宋_GB2312" w:eastAsia="仿宋_GB2312" w:cs="仿宋_GB2312"/>
                <w:szCs w:val="21"/>
              </w:rPr>
            </w:pPr>
          </w:p>
          <w:p>
            <w:pPr>
              <w:rPr>
                <w:rFonts w:ascii="仿宋_GB2312" w:hAnsi="仿宋_GB2312" w:eastAsia="仿宋_GB2312" w:cs="仿宋_GB2312"/>
                <w:szCs w:val="21"/>
              </w:rPr>
            </w:pPr>
            <w:r>
              <w:rPr>
                <w:rFonts w:hint="eastAsia" w:ascii="仿宋_GB2312" w:hAnsi="仿宋_GB2312" w:eastAsia="仿宋_GB2312" w:cs="仿宋_GB2312"/>
                <w:szCs w:val="21"/>
              </w:rPr>
              <w:t>(权重20%）</w:t>
            </w:r>
          </w:p>
        </w:tc>
        <w:tc>
          <w:tcPr>
            <w:tcW w:w="709"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数据库</w:t>
            </w: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本校应届毕业生生源信息库</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报送（15分）</w:t>
            </w:r>
          </w:p>
        </w:tc>
        <w:tc>
          <w:tcPr>
            <w:tcW w:w="3082" w:type="dxa"/>
            <w:vMerge w:val="restart"/>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根据要求和时间截点报送相关数据信息，且数据真实有效。</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在校生数据库</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报送（15分）</w:t>
            </w:r>
          </w:p>
        </w:tc>
        <w:tc>
          <w:tcPr>
            <w:tcW w:w="3082" w:type="dxa"/>
            <w:vMerge w:val="continue"/>
            <w:vAlign w:val="center"/>
          </w:tcPr>
          <w:p>
            <w:pPr>
              <w:jc w:val="left"/>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本校应届毕业生学历信息库</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报送（20分）</w:t>
            </w:r>
          </w:p>
        </w:tc>
        <w:tc>
          <w:tcPr>
            <w:tcW w:w="3082" w:type="dxa"/>
            <w:vMerge w:val="continue"/>
            <w:vAlign w:val="center"/>
          </w:tcPr>
          <w:p>
            <w:pPr>
              <w:jc w:val="left"/>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信息反馈</w:t>
            </w: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毕业生相关调查问卷</w:t>
            </w:r>
          </w:p>
        </w:tc>
        <w:tc>
          <w:tcPr>
            <w:tcW w:w="4493"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组织调查问卷答卷人数占当年度毕业生总数的比例：</w:t>
            </w:r>
          </w:p>
          <w:p>
            <w:pPr>
              <w:jc w:val="center"/>
              <w:rPr>
                <w:rFonts w:ascii="仿宋_GB2312" w:hAnsi="仿宋_GB2312" w:eastAsia="仿宋_GB2312" w:cs="仿宋_GB2312"/>
                <w:szCs w:val="21"/>
              </w:rPr>
            </w:pPr>
            <w:r>
              <w:rPr>
                <w:rFonts w:hint="eastAsia" w:ascii="仿宋_GB2312" w:hAnsi="仿宋_GB2312" w:eastAsia="仿宋_GB2312" w:cs="仿宋_GB2312"/>
                <w:szCs w:val="21"/>
              </w:rPr>
              <w:t>＜50%(10分）≥50%（14分）</w:t>
            </w:r>
          </w:p>
          <w:p>
            <w:pPr>
              <w:jc w:val="center"/>
              <w:rPr>
                <w:rFonts w:ascii="仿宋_GB2312" w:hAnsi="仿宋_GB2312" w:eastAsia="仿宋_GB2312" w:cs="仿宋_GB2312"/>
                <w:szCs w:val="21"/>
              </w:rPr>
            </w:pPr>
            <w:r>
              <w:rPr>
                <w:rFonts w:hint="eastAsia" w:ascii="仿宋_GB2312" w:hAnsi="仿宋_GB2312" w:eastAsia="仿宋_GB2312" w:cs="仿宋_GB2312"/>
                <w:szCs w:val="21"/>
              </w:rPr>
              <w:t>≥60%（16分）≥70%（18分）</w:t>
            </w:r>
          </w:p>
          <w:p>
            <w:pPr>
              <w:jc w:val="center"/>
              <w:rPr>
                <w:rFonts w:ascii="仿宋_GB2312" w:hAnsi="仿宋_GB2312" w:eastAsia="仿宋_GB2312" w:cs="仿宋_GB2312"/>
                <w:szCs w:val="21"/>
              </w:rPr>
            </w:pPr>
            <w:r>
              <w:rPr>
                <w:rFonts w:hint="eastAsia" w:ascii="仿宋_GB2312" w:hAnsi="仿宋_GB2312" w:eastAsia="仿宋_GB2312" w:cs="仿宋_GB2312"/>
                <w:szCs w:val="21"/>
              </w:rPr>
              <w:t>≥80%（20分）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根据要求及时间截点完成</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就业率及相关信息数据</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报送（15分）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真实有效，在时间截点内报送。</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在校生信息确认</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报送（15分）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配合有关部门出具在校生相关证明认定材料。</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7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政策</w:t>
            </w:r>
          </w:p>
          <w:p>
            <w:pPr>
              <w:jc w:val="center"/>
              <w:rPr>
                <w:rFonts w:ascii="仿宋_GB2312" w:hAnsi="仿宋_GB2312" w:eastAsia="仿宋_GB2312" w:cs="仿宋_GB2312"/>
                <w:szCs w:val="21"/>
              </w:rPr>
            </w:pPr>
            <w:r>
              <w:rPr>
                <w:rFonts w:hint="eastAsia" w:ascii="仿宋_GB2312" w:hAnsi="仿宋_GB2312" w:eastAsia="仿宋_GB2312" w:cs="仿宋_GB2312"/>
                <w:szCs w:val="21"/>
              </w:rPr>
              <w:t>宣传</w:t>
            </w:r>
          </w:p>
          <w:p>
            <w:pPr>
              <w:jc w:val="center"/>
              <w:rPr>
                <w:rFonts w:ascii="仿宋_GB2312" w:hAnsi="仿宋_GB2312" w:eastAsia="仿宋_GB2312" w:cs="仿宋_GB2312"/>
                <w:szCs w:val="21"/>
              </w:rPr>
            </w:pPr>
          </w:p>
          <w:p>
            <w:pPr>
              <w:jc w:val="center"/>
              <w:rPr>
                <w:rFonts w:ascii="仿宋_GB2312" w:hAnsi="仿宋_GB2312" w:eastAsia="仿宋_GB2312" w:cs="仿宋_GB2312"/>
                <w:szCs w:val="21"/>
              </w:rPr>
            </w:pPr>
          </w:p>
          <w:p>
            <w:pPr>
              <w:jc w:val="center"/>
              <w:rPr>
                <w:rFonts w:ascii="仿宋_GB2312" w:hAnsi="仿宋_GB2312" w:eastAsia="仿宋_GB2312" w:cs="仿宋_GB2312"/>
                <w:szCs w:val="21"/>
              </w:rPr>
            </w:pPr>
            <w:r>
              <w:rPr>
                <w:rFonts w:hint="eastAsia" w:ascii="仿宋_GB2312" w:hAnsi="仿宋_GB2312" w:eastAsia="仿宋_GB2312" w:cs="仿宋_GB2312"/>
                <w:szCs w:val="21"/>
              </w:rPr>
              <w:t>(权重20%）</w:t>
            </w:r>
          </w:p>
        </w:tc>
        <w:tc>
          <w:tcPr>
            <w:tcW w:w="709"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自媒体</w:t>
            </w: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微信推送</w:t>
            </w:r>
          </w:p>
        </w:tc>
        <w:tc>
          <w:tcPr>
            <w:tcW w:w="4493"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高校微信公众号发布我市高校毕业生就业创业政策及我市组织的毕业生就业创业相关活动宣传</w:t>
            </w:r>
          </w:p>
          <w:p>
            <w:pPr>
              <w:jc w:val="center"/>
              <w:rPr>
                <w:rFonts w:ascii="仿宋_GB2312" w:hAnsi="仿宋_GB2312" w:eastAsia="仿宋_GB2312" w:cs="仿宋_GB2312"/>
                <w:szCs w:val="21"/>
              </w:rPr>
            </w:pPr>
            <w:r>
              <w:rPr>
                <w:rFonts w:hint="eastAsia" w:ascii="仿宋_GB2312" w:hAnsi="仿宋_GB2312" w:eastAsia="仿宋_GB2312" w:cs="仿宋_GB2312"/>
                <w:szCs w:val="21"/>
              </w:rPr>
              <w:t>＞15条（30分）≤15条（25分）</w:t>
            </w:r>
          </w:p>
        </w:tc>
        <w:tc>
          <w:tcPr>
            <w:tcW w:w="3082" w:type="dxa"/>
            <w:vMerge w:val="restart"/>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证明材料：提供公众号或网站发布信息截图照片</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网站推送</w:t>
            </w:r>
          </w:p>
        </w:tc>
        <w:tc>
          <w:tcPr>
            <w:tcW w:w="4493"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高校就业信息网发布我市高校毕业生就业创业政策及我市组织的毕业生就业创业相关活动宣传</w:t>
            </w:r>
          </w:p>
          <w:p>
            <w:pPr>
              <w:jc w:val="center"/>
              <w:rPr>
                <w:rFonts w:ascii="仿宋_GB2312" w:hAnsi="仿宋_GB2312" w:eastAsia="仿宋_GB2312" w:cs="仿宋_GB2312"/>
                <w:szCs w:val="21"/>
              </w:rPr>
            </w:pPr>
            <w:r>
              <w:rPr>
                <w:rFonts w:hint="eastAsia" w:ascii="仿宋_GB2312" w:hAnsi="仿宋_GB2312" w:eastAsia="仿宋_GB2312" w:cs="仿宋_GB2312"/>
                <w:szCs w:val="21"/>
              </w:rPr>
              <w:t>＞15条（30分）≤15条（25分）</w:t>
            </w:r>
          </w:p>
        </w:tc>
        <w:tc>
          <w:tcPr>
            <w:tcW w:w="3082" w:type="dxa"/>
            <w:vMerge w:val="continue"/>
            <w:vAlign w:val="center"/>
          </w:tcPr>
          <w:p>
            <w:pPr>
              <w:jc w:val="left"/>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校园宣传</w:t>
            </w: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张贴海报</w:t>
            </w:r>
          </w:p>
        </w:tc>
        <w:tc>
          <w:tcPr>
            <w:tcW w:w="4493"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校内张贴政策宣传海报。（20分）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证明材料：提供张贴政策海报照片</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印发宣传资料</w:t>
            </w:r>
          </w:p>
        </w:tc>
        <w:tc>
          <w:tcPr>
            <w:tcW w:w="4493"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印发相关政策宣传材料，进行宣传发放。（20分）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证明材料：提供政策及活动宣传材料发放照片</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4"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72" w:type="dxa"/>
            <w:vMerge w:val="restar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开展</w:t>
            </w:r>
          </w:p>
          <w:p>
            <w:pPr>
              <w:jc w:val="center"/>
              <w:rPr>
                <w:rFonts w:ascii="仿宋_GB2312" w:hAnsi="仿宋_GB2312" w:eastAsia="仿宋_GB2312" w:cs="仿宋_GB2312"/>
                <w:szCs w:val="21"/>
              </w:rPr>
            </w:pPr>
            <w:r>
              <w:rPr>
                <w:rFonts w:hint="eastAsia" w:ascii="仿宋_GB2312" w:hAnsi="仿宋_GB2312" w:eastAsia="仿宋_GB2312" w:cs="仿宋_GB2312"/>
                <w:szCs w:val="21"/>
              </w:rPr>
              <w:t>各类</w:t>
            </w:r>
          </w:p>
          <w:p>
            <w:pPr>
              <w:jc w:val="center"/>
              <w:rPr>
                <w:rFonts w:ascii="仿宋_GB2312" w:hAnsi="仿宋_GB2312" w:eastAsia="仿宋_GB2312" w:cs="仿宋_GB2312"/>
                <w:szCs w:val="21"/>
              </w:rPr>
            </w:pPr>
            <w:r>
              <w:rPr>
                <w:rFonts w:hint="eastAsia" w:ascii="仿宋_GB2312" w:hAnsi="仿宋_GB2312" w:eastAsia="仿宋_GB2312" w:cs="仿宋_GB2312"/>
                <w:szCs w:val="21"/>
              </w:rPr>
              <w:t>就业</w:t>
            </w:r>
          </w:p>
          <w:p>
            <w:pPr>
              <w:jc w:val="center"/>
              <w:rPr>
                <w:rFonts w:ascii="仿宋_GB2312" w:hAnsi="仿宋_GB2312" w:eastAsia="仿宋_GB2312" w:cs="仿宋_GB2312"/>
                <w:szCs w:val="21"/>
              </w:rPr>
            </w:pPr>
            <w:r>
              <w:rPr>
                <w:rFonts w:hint="eastAsia" w:ascii="仿宋_GB2312" w:hAnsi="仿宋_GB2312" w:eastAsia="仿宋_GB2312" w:cs="仿宋_GB2312"/>
                <w:szCs w:val="21"/>
              </w:rPr>
              <w:t>创业</w:t>
            </w:r>
          </w:p>
          <w:p>
            <w:pPr>
              <w:jc w:val="center"/>
              <w:rPr>
                <w:rFonts w:ascii="仿宋_GB2312" w:hAnsi="仿宋_GB2312" w:eastAsia="仿宋_GB2312" w:cs="仿宋_GB2312"/>
                <w:szCs w:val="21"/>
              </w:rPr>
            </w:pPr>
            <w:r>
              <w:rPr>
                <w:rFonts w:hint="eastAsia" w:ascii="仿宋_GB2312" w:hAnsi="仿宋_GB2312" w:eastAsia="仿宋_GB2312" w:cs="仿宋_GB2312"/>
                <w:szCs w:val="21"/>
              </w:rPr>
              <w:t>活动</w:t>
            </w:r>
          </w:p>
          <w:p>
            <w:pPr>
              <w:jc w:val="center"/>
              <w:rPr>
                <w:rFonts w:ascii="仿宋_GB2312" w:hAnsi="仿宋_GB2312" w:eastAsia="仿宋_GB2312" w:cs="仿宋_GB2312"/>
                <w:szCs w:val="21"/>
              </w:rPr>
            </w:pPr>
          </w:p>
          <w:p>
            <w:pPr>
              <w:jc w:val="center"/>
              <w:rPr>
                <w:rFonts w:ascii="仿宋_GB2312" w:hAnsi="仿宋_GB2312" w:eastAsia="仿宋_GB2312" w:cs="仿宋_GB2312"/>
                <w:szCs w:val="21"/>
              </w:rPr>
            </w:pPr>
          </w:p>
          <w:p>
            <w:pPr>
              <w:jc w:val="center"/>
              <w:rPr>
                <w:rFonts w:ascii="仿宋_GB2312" w:hAnsi="仿宋_GB2312" w:eastAsia="仿宋_GB2312" w:cs="仿宋_GB2312"/>
                <w:szCs w:val="21"/>
              </w:rPr>
            </w:pPr>
            <w:r>
              <w:rPr>
                <w:rFonts w:hint="eastAsia" w:ascii="仿宋_GB2312" w:hAnsi="仿宋_GB2312" w:eastAsia="仿宋_GB2312" w:cs="仿宋_GB2312"/>
                <w:szCs w:val="21"/>
              </w:rPr>
              <w:t>(权重35%）</w:t>
            </w:r>
          </w:p>
        </w:tc>
        <w:tc>
          <w:tcPr>
            <w:tcW w:w="709" w:type="dxa"/>
            <w:vMerge w:val="restart"/>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毕业生留威</w:t>
            </w: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组织学生到我市企业实习</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组织50人及以上毕业生到我市企业实习，毕业生人数小于200人的组织20人及以上（20分）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证明材料：企业开具的实习证明</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引导关注并使用</w:t>
            </w:r>
          </w:p>
          <w:p>
            <w:pPr>
              <w:jc w:val="center"/>
              <w:rPr>
                <w:rFonts w:ascii="仿宋_GB2312" w:hAnsi="仿宋_GB2312" w:eastAsia="仿宋_GB2312" w:cs="仿宋_GB2312"/>
                <w:szCs w:val="21"/>
              </w:rPr>
            </w:pPr>
            <w:r>
              <w:rPr>
                <w:rFonts w:hint="eastAsia" w:ascii="仿宋_GB2312" w:hAnsi="仿宋_GB2312" w:eastAsia="仿宋_GB2312" w:cs="仿宋_GB2312"/>
                <w:szCs w:val="21"/>
              </w:rPr>
              <w:t>威海市就业服务平台</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关注并注册使用平台人数达到毕业人数的80%（10分）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证明材料：根据就业服务平台系统学生注册后填写的教育经历中毕业院校名称筛选相关数据</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毕业生留威率</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毕业生留威率与上年度持平可得基础分10分，在此基础上每增加1个百分点加10分，最高30分；留威率负增长，此项不得分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证明材料：本年及上年度毕业生花名册及毕业生信息网就业协议</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举办校园招聘会</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＜5场次（5分）</w:t>
            </w:r>
          </w:p>
          <w:p>
            <w:pPr>
              <w:jc w:val="center"/>
              <w:rPr>
                <w:rFonts w:ascii="仿宋_GB2312" w:hAnsi="仿宋_GB2312" w:eastAsia="仿宋_GB2312" w:cs="仿宋_GB2312"/>
                <w:szCs w:val="21"/>
              </w:rPr>
            </w:pPr>
            <w:r>
              <w:rPr>
                <w:rFonts w:hint="eastAsia" w:ascii="仿宋_GB2312" w:hAnsi="仿宋_GB2312" w:eastAsia="仿宋_GB2312" w:cs="仿宋_GB2312"/>
                <w:szCs w:val="21"/>
              </w:rPr>
              <w:t>＞5场次（8分）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证明材料：举办招聘会现场照片</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Merge w:val="continue"/>
            <w:vAlign w:val="center"/>
          </w:tcPr>
          <w:p>
            <w:pPr>
              <w:jc w:val="center"/>
              <w:rPr>
                <w:rFonts w:ascii="仿宋_GB2312" w:hAnsi="仿宋_GB2312" w:eastAsia="仿宋_GB2312" w:cs="仿宋_GB2312"/>
                <w:szCs w:val="21"/>
              </w:rPr>
            </w:pP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组织学生参加公共服务机构</w:t>
            </w:r>
          </w:p>
          <w:p>
            <w:pPr>
              <w:jc w:val="center"/>
              <w:rPr>
                <w:rFonts w:ascii="仿宋_GB2312" w:hAnsi="仿宋_GB2312" w:eastAsia="仿宋_GB2312" w:cs="仿宋_GB2312"/>
                <w:szCs w:val="21"/>
              </w:rPr>
            </w:pPr>
            <w:r>
              <w:rPr>
                <w:rFonts w:hint="eastAsia" w:ascii="仿宋_GB2312" w:hAnsi="仿宋_GB2312" w:eastAsia="仿宋_GB2312" w:cs="仿宋_GB2312"/>
                <w:szCs w:val="21"/>
              </w:rPr>
              <w:t>招聘会</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积极组织毕业生参加各级公共服务机构举办的线上线下招聘活动，做好招聘岗位信息对接服务。（8分）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证明材料：组织发动的通知、照片或截图</w:t>
            </w:r>
          </w:p>
          <w:p>
            <w:pPr>
              <w:jc w:val="left"/>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就业创业培训</w:t>
            </w: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组织学生参加就业创业培训率</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本科学生参训率达到在校生总数的20%，专科学生参训率达到在校生总数的30%，可得相应分值否则不得分（8分）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证明材料：从山东省公共就业人才信息系统中查询比对</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就业创业指导</w:t>
            </w: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就业创业指导咨询</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开设毕业生就业创业指导咨询服务，定期为毕业生提供咨询服务（8分）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证明材料：提供就业创业指导咨询现场照片。</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504" w:type="dxa"/>
            <w:vMerge w:val="continue"/>
            <w:vAlign w:val="center"/>
          </w:tcPr>
          <w:p>
            <w:pPr>
              <w:jc w:val="center"/>
              <w:rPr>
                <w:rFonts w:ascii="仿宋_GB2312" w:hAnsi="仿宋_GB2312" w:eastAsia="仿宋_GB2312" w:cs="仿宋_GB2312"/>
                <w:szCs w:val="21"/>
              </w:rPr>
            </w:pPr>
          </w:p>
        </w:tc>
        <w:tc>
          <w:tcPr>
            <w:tcW w:w="972" w:type="dxa"/>
            <w:vMerge w:val="continue"/>
            <w:vAlign w:val="center"/>
          </w:tcPr>
          <w:p>
            <w:pPr>
              <w:jc w:val="center"/>
              <w:rPr>
                <w:rFonts w:ascii="仿宋_GB2312" w:hAnsi="仿宋_GB2312" w:eastAsia="仿宋_GB2312" w:cs="仿宋_GB2312"/>
                <w:szCs w:val="21"/>
              </w:rPr>
            </w:pPr>
          </w:p>
        </w:tc>
        <w:tc>
          <w:tcPr>
            <w:tcW w:w="709"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赛事组织</w:t>
            </w:r>
          </w:p>
        </w:tc>
        <w:tc>
          <w:tcPr>
            <w:tcW w:w="31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组织开展或参与各类创业大赛</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组织指导学生参赛（8分）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证明材料：大赛现场照片</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50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7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w w:val="90"/>
                <w:szCs w:val="21"/>
              </w:rPr>
              <w:t>创新举措(权重5%）</w:t>
            </w:r>
          </w:p>
        </w:tc>
        <w:tc>
          <w:tcPr>
            <w:tcW w:w="3859"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围绕指导站及毕业生留威开展的创新性工作</w:t>
            </w:r>
          </w:p>
        </w:tc>
        <w:tc>
          <w:tcPr>
            <w:tcW w:w="449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创新工作2项</w:t>
            </w:r>
          </w:p>
          <w:p>
            <w:pPr>
              <w:jc w:val="center"/>
              <w:rPr>
                <w:rFonts w:ascii="仿宋_GB2312" w:hAnsi="仿宋_GB2312" w:eastAsia="仿宋_GB2312" w:cs="仿宋_GB2312"/>
                <w:szCs w:val="21"/>
              </w:rPr>
            </w:pPr>
            <w:r>
              <w:rPr>
                <w:rFonts w:hint="eastAsia" w:ascii="仿宋_GB2312" w:hAnsi="仿宋_GB2312" w:eastAsia="仿宋_GB2312" w:cs="仿宋_GB2312"/>
                <w:szCs w:val="21"/>
              </w:rPr>
              <w:t>（100分）</w:t>
            </w:r>
          </w:p>
        </w:tc>
        <w:tc>
          <w:tcPr>
            <w:tcW w:w="3082" w:type="dxa"/>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证明材料：提供创新性工作开展情况说明。</w:t>
            </w:r>
          </w:p>
        </w:tc>
        <w:tc>
          <w:tcPr>
            <w:tcW w:w="632" w:type="dxa"/>
            <w:vAlign w:val="center"/>
          </w:tcPr>
          <w:p>
            <w:pPr>
              <w:jc w:val="center"/>
              <w:rPr>
                <w:rFonts w:ascii="仿宋_GB2312" w:hAnsi="仿宋_GB2312" w:eastAsia="仿宋_GB2312" w:cs="仿宋_GB2312"/>
                <w:szCs w:val="21"/>
              </w:rPr>
            </w:pPr>
          </w:p>
        </w:tc>
        <w:tc>
          <w:tcPr>
            <w:tcW w:w="632" w:type="dxa"/>
            <w:vAlign w:val="center"/>
          </w:tcPr>
          <w:p>
            <w:pPr>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910" w:type="dxa"/>
            <w:gridSpan w:val="6"/>
            <w:vAlign w:val="center"/>
          </w:tcPr>
          <w:p>
            <w:pPr>
              <w:jc w:val="center"/>
              <w:rPr>
                <w:rFonts w:ascii="黑体" w:hAnsi="黑体" w:eastAsia="黑体" w:cs="黑体"/>
                <w:szCs w:val="21"/>
              </w:rPr>
            </w:pPr>
            <w:r>
              <w:rPr>
                <w:rFonts w:hint="eastAsia" w:ascii="黑体" w:hAnsi="黑体" w:eastAsia="黑体" w:cs="黑体"/>
                <w:szCs w:val="21"/>
              </w:rPr>
              <w:t>合   计</w:t>
            </w:r>
          </w:p>
        </w:tc>
        <w:tc>
          <w:tcPr>
            <w:tcW w:w="632" w:type="dxa"/>
            <w:vAlign w:val="center"/>
          </w:tcPr>
          <w:p>
            <w:pPr>
              <w:jc w:val="center"/>
              <w:rPr>
                <w:rFonts w:ascii="黑体" w:hAnsi="黑体" w:eastAsia="黑体" w:cs="黑体"/>
                <w:szCs w:val="21"/>
              </w:rPr>
            </w:pPr>
          </w:p>
        </w:tc>
        <w:tc>
          <w:tcPr>
            <w:tcW w:w="632" w:type="dxa"/>
            <w:vAlign w:val="center"/>
          </w:tcPr>
          <w:p>
            <w:pPr>
              <w:jc w:val="center"/>
              <w:rPr>
                <w:rFonts w:ascii="黑体" w:hAnsi="黑体" w:eastAsia="黑体" w:cs="黑体"/>
                <w:szCs w:val="21"/>
              </w:rPr>
            </w:pPr>
          </w:p>
        </w:tc>
      </w:tr>
    </w:tbl>
    <w:p>
      <w:pPr>
        <w:rPr>
          <w:rFonts w:ascii="仿宋_GB2312" w:hAnsi="仿宋_GB2312" w:eastAsia="仿宋_GB2312" w:cs="仿宋_GB2312"/>
          <w:sz w:val="32"/>
          <w:szCs w:val="32"/>
        </w:rPr>
        <w:sectPr>
          <w:pgSz w:w="16838" w:h="11906" w:orient="landscape"/>
          <w:pgMar w:top="1800" w:right="1440" w:bottom="1800" w:left="1440" w:header="851" w:footer="992" w:gutter="0"/>
          <w:cols w:space="425" w:num="1"/>
          <w:docGrid w:type="lines" w:linePitch="312" w:charSpace="0"/>
        </w:sectPr>
      </w:pPr>
    </w:p>
    <w:p>
      <w:pPr>
        <w:jc w:val="left"/>
        <w:rPr>
          <w:rFonts w:ascii="黑体" w:hAnsi="黑体" w:eastAsia="黑体" w:cs="黑体"/>
          <w:sz w:val="32"/>
          <w:szCs w:val="32"/>
        </w:rPr>
      </w:pPr>
      <w:r>
        <w:rPr>
          <w:rFonts w:hint="eastAsia" w:ascii="黑体" w:hAnsi="黑体" w:eastAsia="黑体" w:cs="黑体"/>
          <w:sz w:val="32"/>
          <w:szCs w:val="32"/>
        </w:rPr>
        <w:t>附件3</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威海市大学生就业服务指导站绩效奖补申请表</w:t>
      </w:r>
    </w:p>
    <w:p>
      <w:pPr>
        <w:jc w:val="center"/>
        <w:rPr>
          <w:rFonts w:ascii="仿宋_GB2312" w:hAnsi="仿宋_GB2312" w:eastAsia="仿宋_GB2312" w:cs="仿宋_GB2312"/>
          <w:sz w:val="32"/>
          <w:szCs w:val="32"/>
        </w:rPr>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2145"/>
        <w:gridCol w:w="1965"/>
        <w:gridCol w:w="195"/>
        <w:gridCol w:w="2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1809"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院校</w:t>
            </w: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145" w:type="dxa"/>
          </w:tcPr>
          <w:p>
            <w:pPr>
              <w:jc w:val="center"/>
              <w:rPr>
                <w:rFonts w:ascii="仿宋_GB2312" w:hAnsi="仿宋_GB2312" w:eastAsia="仿宋_GB2312" w:cs="仿宋_GB2312"/>
                <w:sz w:val="32"/>
                <w:szCs w:val="32"/>
              </w:rPr>
            </w:pPr>
          </w:p>
        </w:tc>
        <w:tc>
          <w:tcPr>
            <w:tcW w:w="1965"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开户行</w:t>
            </w: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及银行</w:t>
            </w: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账号</w:t>
            </w:r>
          </w:p>
        </w:tc>
        <w:tc>
          <w:tcPr>
            <w:tcW w:w="2603" w:type="dxa"/>
            <w:gridSpan w:val="2"/>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1809"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绩效评估等级</w:t>
            </w:r>
          </w:p>
        </w:tc>
        <w:tc>
          <w:tcPr>
            <w:tcW w:w="2145" w:type="dxa"/>
            <w:vAlign w:val="center"/>
          </w:tcPr>
          <w:p>
            <w:pPr>
              <w:jc w:val="center"/>
              <w:rPr>
                <w:rFonts w:ascii="仿宋_GB2312" w:hAnsi="仿宋_GB2312" w:eastAsia="仿宋_GB2312" w:cs="仿宋_GB2312"/>
                <w:sz w:val="32"/>
                <w:szCs w:val="32"/>
              </w:rPr>
            </w:pPr>
          </w:p>
        </w:tc>
        <w:tc>
          <w:tcPr>
            <w:tcW w:w="1965"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绩效奖补</w:t>
            </w: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金额</w:t>
            </w:r>
          </w:p>
        </w:tc>
        <w:tc>
          <w:tcPr>
            <w:tcW w:w="2603" w:type="dxa"/>
            <w:gridSpan w:val="2"/>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trPr>
        <w:tc>
          <w:tcPr>
            <w:tcW w:w="1809"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联系人</w:t>
            </w:r>
          </w:p>
        </w:tc>
        <w:tc>
          <w:tcPr>
            <w:tcW w:w="2145" w:type="dxa"/>
            <w:vAlign w:val="center"/>
          </w:tcPr>
          <w:p>
            <w:pPr>
              <w:jc w:val="center"/>
              <w:rPr>
                <w:rFonts w:ascii="仿宋_GB2312" w:hAnsi="仿宋_GB2312" w:eastAsia="仿宋_GB2312" w:cs="仿宋_GB2312"/>
                <w:sz w:val="32"/>
                <w:szCs w:val="32"/>
              </w:rPr>
            </w:pPr>
          </w:p>
        </w:tc>
        <w:tc>
          <w:tcPr>
            <w:tcW w:w="1965"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联系方式</w:t>
            </w:r>
          </w:p>
        </w:tc>
        <w:tc>
          <w:tcPr>
            <w:tcW w:w="2603" w:type="dxa"/>
            <w:gridSpan w:val="2"/>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3" w:hRule="atLeast"/>
        </w:trPr>
        <w:tc>
          <w:tcPr>
            <w:tcW w:w="1809"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申报院校意见</w:t>
            </w:r>
          </w:p>
        </w:tc>
        <w:tc>
          <w:tcPr>
            <w:tcW w:w="6713" w:type="dxa"/>
            <w:gridSpan w:val="4"/>
          </w:tcPr>
          <w:p>
            <w:pPr>
              <w:jc w:val="center"/>
              <w:rPr>
                <w:rFonts w:ascii="仿宋_GB2312" w:hAnsi="仿宋_GB2312" w:eastAsia="仿宋_GB2312" w:cs="仿宋_GB2312"/>
                <w:sz w:val="32"/>
                <w:szCs w:val="32"/>
              </w:rPr>
            </w:pPr>
          </w:p>
          <w:p/>
          <w:p/>
          <w:p/>
          <w:p>
            <w:pPr>
              <w:wordWrap w:val="0"/>
              <w:jc w:val="right"/>
              <w:rPr>
                <w:rFonts w:ascii="仿宋_GB2312" w:hAnsi="仿宋_GB2312" w:eastAsia="仿宋_GB2312" w:cs="仿宋_GB2312"/>
                <w:sz w:val="30"/>
                <w:szCs w:val="30"/>
              </w:rPr>
            </w:pPr>
            <w:r>
              <w:rPr>
                <w:rFonts w:hint="eastAsia"/>
              </w:rPr>
              <w:tab/>
            </w:r>
            <w:r>
              <w:rPr>
                <w:rFonts w:hint="eastAsia" w:ascii="仿宋_GB2312" w:hAnsi="仿宋_GB2312" w:eastAsia="仿宋_GB2312" w:cs="仿宋_GB2312"/>
                <w:sz w:val="30"/>
                <w:szCs w:val="30"/>
              </w:rPr>
              <w:t xml:space="preserve">（公章）    </w:t>
            </w:r>
          </w:p>
          <w:p>
            <w:pPr>
              <w:tabs>
                <w:tab w:val="left" w:pos="5187"/>
              </w:tabs>
              <w:jc w:val="right"/>
            </w:pPr>
            <w:r>
              <w:rPr>
                <w:rFonts w:hint="eastAsia" w:ascii="仿宋_GB2312" w:hAnsi="仿宋_GB2312" w:eastAsia="仿宋_GB2312" w:cs="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9" w:hRule="atLeast"/>
        </w:trPr>
        <w:tc>
          <w:tcPr>
            <w:tcW w:w="1809" w:type="dxa"/>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市人力资源社会保障局</w:t>
            </w:r>
          </w:p>
          <w:p>
            <w:pPr>
              <w:jc w:val="center"/>
              <w:rPr>
                <w:rFonts w:ascii="仿宋_GB2312" w:hAnsi="仿宋_GB2312" w:eastAsia="仿宋_GB2312" w:cs="仿宋_GB2312"/>
                <w:sz w:val="32"/>
                <w:szCs w:val="32"/>
              </w:rPr>
            </w:pPr>
            <w:r>
              <w:rPr>
                <w:rFonts w:hint="eastAsia" w:ascii="仿宋_GB2312" w:hAnsi="仿宋_GB2312" w:eastAsia="仿宋_GB2312" w:cs="仿宋_GB2312"/>
                <w:sz w:val="30"/>
                <w:szCs w:val="30"/>
              </w:rPr>
              <w:t>意见</w:t>
            </w:r>
          </w:p>
        </w:tc>
        <w:tc>
          <w:tcPr>
            <w:tcW w:w="2145" w:type="dxa"/>
            <w:vAlign w:val="bottom"/>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（公章）</w:t>
            </w:r>
          </w:p>
          <w:p>
            <w:pPr>
              <w:jc w:val="center"/>
            </w:pPr>
            <w:r>
              <w:rPr>
                <w:rFonts w:hint="eastAsia" w:ascii="仿宋_GB2312" w:hAnsi="仿宋_GB2312" w:eastAsia="仿宋_GB2312" w:cs="仿宋_GB2312"/>
                <w:sz w:val="30"/>
                <w:szCs w:val="30"/>
              </w:rPr>
              <w:t xml:space="preserve"> 年  月  日</w:t>
            </w:r>
          </w:p>
        </w:tc>
        <w:tc>
          <w:tcPr>
            <w:tcW w:w="2160" w:type="dxa"/>
            <w:gridSpan w:val="2"/>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市财政局</w:t>
            </w:r>
          </w:p>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意见</w:t>
            </w:r>
          </w:p>
        </w:tc>
        <w:tc>
          <w:tcPr>
            <w:tcW w:w="2408" w:type="dxa"/>
            <w:vAlign w:val="bottom"/>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（公章）</w:t>
            </w:r>
          </w:p>
          <w:p>
            <w:pPr>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tc>
      </w:tr>
    </w:tbl>
    <w:p>
      <w:pPr>
        <w:jc w:val="center"/>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473258"/>
    <w:multiLevelType w:val="singleLevel"/>
    <w:tmpl w:val="9B473258"/>
    <w:lvl w:ilvl="0" w:tentative="0">
      <w:start w:val="2"/>
      <w:numFmt w:val="chineseCounting"/>
      <w:suff w:val="nothing"/>
      <w:lvlText w:val="（%1）"/>
      <w:lvlJc w:val="left"/>
      <w:rPr>
        <w:rFonts w:hint="eastAsia"/>
      </w:rPr>
    </w:lvl>
  </w:abstractNum>
  <w:abstractNum w:abstractNumId="1">
    <w:nsid w:val="554FA8CA"/>
    <w:multiLevelType w:val="singleLevel"/>
    <w:tmpl w:val="554FA8C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8377132"/>
    <w:rsid w:val="002309F5"/>
    <w:rsid w:val="0042143C"/>
    <w:rsid w:val="004A5310"/>
    <w:rsid w:val="0050243C"/>
    <w:rsid w:val="009E38C5"/>
    <w:rsid w:val="00A046AF"/>
    <w:rsid w:val="00B02B7B"/>
    <w:rsid w:val="00B33A88"/>
    <w:rsid w:val="00CF0CD8"/>
    <w:rsid w:val="00D42A6B"/>
    <w:rsid w:val="00DE0EC7"/>
    <w:rsid w:val="00E31AD8"/>
    <w:rsid w:val="00E57DA8"/>
    <w:rsid w:val="00F07FBB"/>
    <w:rsid w:val="00F25EFE"/>
    <w:rsid w:val="00F82F4A"/>
    <w:rsid w:val="00FF6F7E"/>
    <w:rsid w:val="019872AB"/>
    <w:rsid w:val="03834BD9"/>
    <w:rsid w:val="054840C0"/>
    <w:rsid w:val="05570D1E"/>
    <w:rsid w:val="05B74873"/>
    <w:rsid w:val="08CC6680"/>
    <w:rsid w:val="08DD2973"/>
    <w:rsid w:val="099E17B5"/>
    <w:rsid w:val="0A097056"/>
    <w:rsid w:val="0D2A5DCE"/>
    <w:rsid w:val="0E096F74"/>
    <w:rsid w:val="0E5A3474"/>
    <w:rsid w:val="0F8869B1"/>
    <w:rsid w:val="100F72BF"/>
    <w:rsid w:val="11450BF3"/>
    <w:rsid w:val="1A4E7350"/>
    <w:rsid w:val="1B332419"/>
    <w:rsid w:val="1C962127"/>
    <w:rsid w:val="1DEC1E33"/>
    <w:rsid w:val="1E41601C"/>
    <w:rsid w:val="1F835965"/>
    <w:rsid w:val="1FCF39EF"/>
    <w:rsid w:val="22634398"/>
    <w:rsid w:val="227E19CB"/>
    <w:rsid w:val="26FC06A4"/>
    <w:rsid w:val="27EA2BA0"/>
    <w:rsid w:val="28377132"/>
    <w:rsid w:val="28D05BB0"/>
    <w:rsid w:val="29C45FC8"/>
    <w:rsid w:val="2B733732"/>
    <w:rsid w:val="2B8235F2"/>
    <w:rsid w:val="2BD43F49"/>
    <w:rsid w:val="2D162D7A"/>
    <w:rsid w:val="2EC6309C"/>
    <w:rsid w:val="304327FD"/>
    <w:rsid w:val="3108554F"/>
    <w:rsid w:val="31EC0EEB"/>
    <w:rsid w:val="353204F0"/>
    <w:rsid w:val="36D22E21"/>
    <w:rsid w:val="3CDF1238"/>
    <w:rsid w:val="3EDC25ED"/>
    <w:rsid w:val="3F105DFB"/>
    <w:rsid w:val="3FE24E8D"/>
    <w:rsid w:val="3FFB7283"/>
    <w:rsid w:val="40C37000"/>
    <w:rsid w:val="410E1171"/>
    <w:rsid w:val="4134258C"/>
    <w:rsid w:val="4244360B"/>
    <w:rsid w:val="439B2011"/>
    <w:rsid w:val="44E11BD9"/>
    <w:rsid w:val="45084226"/>
    <w:rsid w:val="467F30DF"/>
    <w:rsid w:val="46B83BCE"/>
    <w:rsid w:val="499231D9"/>
    <w:rsid w:val="49E673B9"/>
    <w:rsid w:val="4DA86C83"/>
    <w:rsid w:val="4E1540B5"/>
    <w:rsid w:val="50E85159"/>
    <w:rsid w:val="51A40AAA"/>
    <w:rsid w:val="51EC3AF4"/>
    <w:rsid w:val="53533857"/>
    <w:rsid w:val="54C06943"/>
    <w:rsid w:val="55ED0E0D"/>
    <w:rsid w:val="5C6331CE"/>
    <w:rsid w:val="5D541DEF"/>
    <w:rsid w:val="5F250438"/>
    <w:rsid w:val="5FBB75F5"/>
    <w:rsid w:val="61BF245A"/>
    <w:rsid w:val="647A28B2"/>
    <w:rsid w:val="64CD5B49"/>
    <w:rsid w:val="651C6A82"/>
    <w:rsid w:val="6792690F"/>
    <w:rsid w:val="6CA14FD3"/>
    <w:rsid w:val="6E3A07D0"/>
    <w:rsid w:val="72213999"/>
    <w:rsid w:val="729F163D"/>
    <w:rsid w:val="736534A8"/>
    <w:rsid w:val="7413020F"/>
    <w:rsid w:val="75B70CEC"/>
    <w:rsid w:val="75FE4ED9"/>
    <w:rsid w:val="76785A7F"/>
    <w:rsid w:val="77325598"/>
    <w:rsid w:val="7790443A"/>
    <w:rsid w:val="78D83EEC"/>
    <w:rsid w:val="79CC62E1"/>
    <w:rsid w:val="7A222C68"/>
    <w:rsid w:val="7A4A63C2"/>
    <w:rsid w:val="7A5C01EE"/>
    <w:rsid w:val="7B1950FA"/>
    <w:rsid w:val="7BCF658C"/>
    <w:rsid w:val="7D9A7C64"/>
    <w:rsid w:val="7E676636"/>
    <w:rsid w:val="7FA92024"/>
    <w:rsid w:val="7FBC11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12</Pages>
  <Words>740</Words>
  <Characters>4223</Characters>
  <Lines>35</Lines>
  <Paragraphs>9</Paragraphs>
  <TotalTime>53</TotalTime>
  <ScaleCrop>false</ScaleCrop>
  <LinksUpToDate>false</LinksUpToDate>
  <CharactersWithSpaces>4954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2019-02-28T06:42:00Z</dcterms:created>
  <dc:creator>芒果味榴莲</dc:creator>
  <cp:lastModifiedBy>Administrator</cp:lastModifiedBy>
  <cp:lastPrinted>2020-05-19T10:57:00Z</cp:lastPrinted>
  <dcterms:modified xsi:type="dcterms:W3CDTF">2020-11-23T06:44:13Z</dcterms:modified>
  <dc:title>关于在驻威高校建立大学生就业创业服务指导站的通知</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